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B43472">
      <w:r>
        <w:t>Список источников</w:t>
      </w:r>
    </w:p>
    <w:p w:rsidR="00B43472" w:rsidRPr="00B43472" w:rsidRDefault="00B43472" w:rsidP="00B43472">
      <w:pPr>
        <w:rPr>
          <w:lang w:val="en-US"/>
        </w:rPr>
      </w:pPr>
      <w:r w:rsidRPr="00B43472">
        <w:rPr>
          <w:lang w:val="en-US"/>
        </w:rPr>
        <w:t>1. GUARDIANCICH, I., GUIDI, M., &amp; TERLIZZI, A.(2022). Beyond the European Semester: The supranational evaluation cycle for pensions. Journal of European Social Policy, 32(5), 578–591. https://doi. org/10.1177/09589287221101339.</w:t>
      </w:r>
    </w:p>
    <w:p w:rsidR="00B43472" w:rsidRPr="00B43472" w:rsidRDefault="00B43472" w:rsidP="00B43472">
      <w:pPr>
        <w:rPr>
          <w:lang w:val="en-US"/>
        </w:rPr>
      </w:pPr>
    </w:p>
    <w:p w:rsidR="00B43472" w:rsidRPr="00B43472" w:rsidRDefault="00B43472" w:rsidP="00B43472">
      <w:pPr>
        <w:rPr>
          <w:lang w:val="en-US"/>
        </w:rPr>
      </w:pPr>
      <w:r w:rsidRPr="00B43472">
        <w:rPr>
          <w:lang w:val="en-US"/>
        </w:rPr>
        <w:t>2. HEER, B., POLITO, V., &amp; WICKENS, M. (2023). Pension Systems (Un)Sustainability and Fiscal Con- straints: A Comparative Analysis. SSRN Electronic Journal, Article 4472931. https://doi.org/10.2139/ ssrn.4472931.</w:t>
      </w:r>
    </w:p>
    <w:p w:rsidR="00B43472" w:rsidRPr="00B43472" w:rsidRDefault="00B43472" w:rsidP="00B43472">
      <w:pPr>
        <w:rPr>
          <w:lang w:val="en-US"/>
        </w:rPr>
      </w:pPr>
    </w:p>
    <w:p w:rsidR="00B43472" w:rsidRPr="00B43472" w:rsidRDefault="00B43472" w:rsidP="00B43472">
      <w:pPr>
        <w:rPr>
          <w:lang w:val="en-US"/>
        </w:rPr>
      </w:pPr>
      <w:r w:rsidRPr="00B43472">
        <w:rPr>
          <w:lang w:val="en-US"/>
        </w:rPr>
        <w:t>3. HINRICHS, K. (2021). Recent pension reforms in Europe: More challenges, new directions. An overview. Social Policy &amp; Administration, 55(3), 409–422. https://doi.org/10.1111/spol.12712.</w:t>
      </w:r>
    </w:p>
    <w:p w:rsidR="00B43472" w:rsidRPr="00B43472" w:rsidRDefault="00B43472" w:rsidP="00B43472">
      <w:pPr>
        <w:rPr>
          <w:lang w:val="en-US"/>
        </w:rPr>
      </w:pPr>
    </w:p>
    <w:p w:rsidR="00B43472" w:rsidRPr="00B43472" w:rsidRDefault="00B43472" w:rsidP="00B43472">
      <w:pPr>
        <w:rPr>
          <w:lang w:val="en-US"/>
        </w:rPr>
      </w:pPr>
      <w:r w:rsidRPr="00B43472">
        <w:rPr>
          <w:lang w:val="en-US"/>
        </w:rPr>
        <w:t>4. MARTINI, A. (2021). Socially responsible invest- ing: from the ethical origins to the sustainable develop- ment framework of the European Union. Environment, Development and Sustainability, 23(11), 16874–16890. https://doi.org/10.1007/s10668-021-01375-3.</w:t>
      </w:r>
    </w:p>
    <w:p w:rsidR="00B43472" w:rsidRPr="00B43472" w:rsidRDefault="00B43472" w:rsidP="00B43472">
      <w:pPr>
        <w:rPr>
          <w:lang w:val="en-US"/>
        </w:rPr>
      </w:pPr>
    </w:p>
    <w:p w:rsidR="00B43472" w:rsidRPr="00B43472" w:rsidRDefault="00B43472" w:rsidP="00B43472">
      <w:pPr>
        <w:rPr>
          <w:lang w:val="en-US"/>
        </w:rPr>
      </w:pPr>
      <w:r w:rsidRPr="00B43472">
        <w:rPr>
          <w:lang w:val="en-US"/>
        </w:rPr>
        <w:t>5. ELKAMHI, R., LEE, J., &amp; SADIK, S. (2019). Bridging the Gap between Strategic Allocation and Investment Risk. SSRN Electronic Journal, Article 3454958. https://doi.org/10.2139/ssrn.3454958.</w:t>
      </w:r>
    </w:p>
    <w:p w:rsidR="00B43472" w:rsidRPr="00B43472" w:rsidRDefault="00B43472" w:rsidP="00B43472">
      <w:pPr>
        <w:rPr>
          <w:lang w:val="en-US"/>
        </w:rPr>
      </w:pPr>
    </w:p>
    <w:p w:rsidR="00B43472" w:rsidRPr="00B43472" w:rsidRDefault="00B43472" w:rsidP="00B43472">
      <w:pPr>
        <w:rPr>
          <w:lang w:val="en-US"/>
        </w:rPr>
      </w:pPr>
      <w:r w:rsidRPr="00B43472">
        <w:rPr>
          <w:lang w:val="en-US"/>
        </w:rPr>
        <w:t>6. BEKBOSSINOVA, A. S., OSHANOVA, K. Y., KHAS- SENOVA, K. K., ALPYSBAYEVA, A. K., &amp; MOLDASHEVA, A. B.</w:t>
      </w:r>
    </w:p>
    <w:p w:rsidR="00B43472" w:rsidRPr="00B43472" w:rsidRDefault="00B43472" w:rsidP="00B43472">
      <w:pPr>
        <w:rPr>
          <w:lang w:val="en-US"/>
        </w:rPr>
      </w:pPr>
    </w:p>
    <w:p w:rsidR="00B43472" w:rsidRDefault="00B43472" w:rsidP="00B43472">
      <w:r w:rsidRPr="00B43472">
        <w:rPr>
          <w:lang w:val="en-US"/>
        </w:rPr>
        <w:t xml:space="preserve">(2022). Advantages and disadvantages of early with- drawal of pension savings: An expert assessment. </w:t>
      </w:r>
      <w:r>
        <w:t>Econ- omy: Strategy and Practice, 17(3), 242–258. https:// doi.org/10.51176/1997-9967-2022-3-242-258.</w:t>
      </w:r>
    </w:p>
    <w:p w:rsidR="00B43472" w:rsidRDefault="00B43472" w:rsidP="00B43472"/>
    <w:p w:rsidR="00B43472" w:rsidRPr="00B43472" w:rsidRDefault="00B43472" w:rsidP="00B43472">
      <w:pPr>
        <w:rPr>
          <w:lang w:val="en-US"/>
        </w:rPr>
      </w:pPr>
      <w:r>
        <w:t xml:space="preserve">7. ФРУМИНА С. В. Анализ пенсионной системы Дании // Финансы и кредит. </w:t>
      </w:r>
      <w:r w:rsidRPr="00B43472">
        <w:rPr>
          <w:lang w:val="en-US"/>
        </w:rPr>
        <w:t xml:space="preserve">2021. </w:t>
      </w:r>
      <w:r>
        <w:t>Т</w:t>
      </w:r>
      <w:r w:rsidRPr="00B43472">
        <w:rPr>
          <w:lang w:val="en-US"/>
        </w:rPr>
        <w:t xml:space="preserve">. 27, № 8 (812). </w:t>
      </w:r>
      <w:r>
        <w:t>С</w:t>
      </w:r>
      <w:r w:rsidRPr="00B43472">
        <w:rPr>
          <w:lang w:val="en-US"/>
        </w:rPr>
        <w:t>. 1852–1870. DOI 10.24891/fc.27.8.1852. EDN LAGKZZ.</w:t>
      </w:r>
    </w:p>
    <w:p w:rsidR="00B43472" w:rsidRPr="00B43472" w:rsidRDefault="00B43472" w:rsidP="00B43472">
      <w:pPr>
        <w:rPr>
          <w:lang w:val="en-US"/>
        </w:rPr>
      </w:pPr>
    </w:p>
    <w:p w:rsidR="00B43472" w:rsidRDefault="00B43472" w:rsidP="00B43472">
      <w:r w:rsidRPr="00B43472">
        <w:rPr>
          <w:lang w:val="en-US"/>
        </w:rPr>
        <w:t xml:space="preserve">8. DYBAŁ, M. (2023). Participatory budgeting: Is it a useful tool towards co-creation of public services. </w:t>
      </w:r>
      <w:r>
        <w:t>Ekonomia, 28(2), 43–58. https://doi.org/10.19195/2658-1310.28.2.4.</w:t>
      </w:r>
    </w:p>
    <w:p w:rsidR="00B43472" w:rsidRDefault="00B43472" w:rsidP="00B43472"/>
    <w:p w:rsidR="00B43472" w:rsidRDefault="00B43472" w:rsidP="00B43472">
      <w:r>
        <w:t>9. КНЯЗЕВА Е. Г., ЯРИН В. Ю. Пенсионные резервы как форсайт-проекты портфельных накоплений // Финансовая экономика. 2023. № 3. С. 119–124. EDN FJLTKZ.</w:t>
      </w:r>
    </w:p>
    <w:p w:rsidR="00B43472" w:rsidRDefault="00B43472" w:rsidP="00B43472"/>
    <w:p w:rsidR="00B43472" w:rsidRDefault="00B43472" w:rsidP="00B43472">
      <w:r>
        <w:t>10. КАПРАНОВА Л. Д. Негосударственное пенсионное обеспечение в реализации социально- экономической политики государства // Национальные интересы: приоритеты и безопасность. 2020. Т. 16, № 3 (384). С. 449–466. DOI 10.24891/ni.16.3.449. EDN WQBJGH.</w:t>
      </w:r>
    </w:p>
    <w:p w:rsidR="00B43472" w:rsidRDefault="00B43472" w:rsidP="00B43472"/>
    <w:p w:rsidR="00B43472" w:rsidRDefault="00B43472" w:rsidP="00B43472">
      <w:r>
        <w:t>11. ЮЗВОВИЧ Л. И., ЛЬВОВА М. И., ЯРИН В. Ю. Формирование пенсионного портфеля на основе моделирования структуры пенсионных накоплений // Финансы и кредит. 2023. Т. 29, № 9 (837). С. 1973–1995. DOI10.24891/fc.29.9.1973. EDN RNYAOA.</w:t>
      </w:r>
    </w:p>
    <w:p w:rsidR="00B43472" w:rsidRDefault="00B43472" w:rsidP="00B43472"/>
    <w:p w:rsidR="00B43472" w:rsidRDefault="00B43472" w:rsidP="00B43472">
      <w:r>
        <w:t>12. ПИНИГИНА В. В., СТЕПАНОВА Н. В. Анализ результатов инвестирования средств пенсионных накоплений негосударственных пенсионных фондов // Цифровая трансформация: тенденции, проблемы, решения : Сборник статей Международной научно-практической конференции (Петрозаводск, 14 марта 2022 г.) / под ред. И. И. Ивановской, М. В. Посновой. Петрозаводск : Новая Наука, 2022. С. 29–33. EDN KNMULD.</w:t>
      </w:r>
    </w:p>
    <w:p w:rsidR="00B43472" w:rsidRDefault="00B43472" w:rsidP="00B43472"/>
    <w:p w:rsidR="00B43472" w:rsidRDefault="00B43472" w:rsidP="00B43472">
      <w:r>
        <w:t>13. ФОКИНА О. Г. Актуальность и потенциал вовлечения банков в процессы формирования населением собственного пенсионного капитала // Национальные экосистемы : Сборник научных трудов по итогам проведения I-III Международных научно-практических конференций (Курган, 25 ноября 2019 г.) / под ред. С. Н. Ор- лова, О. Е. Васильевой. Курган : Курганский государственный университет, 2023. С. 622–627. EDN HMNWJE.</w:t>
      </w:r>
    </w:p>
    <w:p w:rsidR="00B43472" w:rsidRDefault="00B43472" w:rsidP="00B43472"/>
    <w:p w:rsidR="00B43472" w:rsidRDefault="00B43472" w:rsidP="00B43472">
      <w:r>
        <w:t>14. МАСТЕРОВ А. И. Проблемы и перспективы развития пенсионной системы в России // Финансы и кредит. 2021. Т. 27, № 11 (815). С. 2548– 2574. DOI 10.24891/fc.27.11.2548. EDN QOZACQ.</w:t>
      </w:r>
    </w:p>
    <w:p w:rsidR="00B43472" w:rsidRDefault="00B43472" w:rsidP="00B43472"/>
    <w:p w:rsidR="00B43472" w:rsidRDefault="00B43472" w:rsidP="00B43472">
      <w:r>
        <w:t>15. КУЗНЕЦОВА Н. А., РЯБОВА О. А., РУНОВ А. В. Актуальные проблемы реформирования пенсионной системы на постсоветском пространстве // Modern Science. 2020. № 5-2. С. 131–135. EDN MPBSQY.</w:t>
      </w:r>
    </w:p>
    <w:p w:rsidR="00B43472" w:rsidRDefault="00B43472" w:rsidP="00B43472"/>
    <w:p w:rsidR="00B43472" w:rsidRDefault="00B43472" w:rsidP="00B43472">
      <w:r>
        <w:t>16. ХМЕЛЕВСКАЯ С. А., ЕСАУЛКОВА Т. С. В поисках новой конфигурации российской пенсион- ной системы: реформирование института накопительной пенсии // Вопросы государственного и муниципального управления. 2021. № 4. С. 36–65. DOI 10.17323/1999-5431-2021-0-4-36-65. EDN FMVVIA.</w:t>
      </w:r>
    </w:p>
    <w:p w:rsidR="00B43472" w:rsidRDefault="00B43472" w:rsidP="00B43472"/>
    <w:p w:rsidR="00B43472" w:rsidRDefault="00B43472" w:rsidP="00B43472">
      <w:r>
        <w:t>17. ЯРОВАЯ Е. С. Экосистема негосударственных пенсионных фондов – модный тренд или стратегическая необходимость? // Финансы и кредит. 2022. Т. 28, № 3 (819). С. 597–627. DOI 10.24891/fc.28.3.597. EDN RBZQRW.</w:t>
      </w:r>
    </w:p>
    <w:p w:rsidR="00B43472" w:rsidRDefault="00B43472" w:rsidP="00B43472"/>
    <w:p w:rsidR="00B43472" w:rsidRPr="00B43472" w:rsidRDefault="00B43472" w:rsidP="00B43472">
      <w:pPr>
        <w:rPr>
          <w:lang w:val="en-US"/>
        </w:rPr>
      </w:pPr>
      <w:r>
        <w:t xml:space="preserve">18. МАСТЕРОВ А. И. Пенсионное обеспечение самозанятых граждан: проблемы и пути их решения //Национальные интересы: приоритеты и безопасность. </w:t>
      </w:r>
      <w:r w:rsidRPr="00B43472">
        <w:rPr>
          <w:lang w:val="en-US"/>
        </w:rPr>
        <w:t xml:space="preserve">2022. </w:t>
      </w:r>
      <w:r>
        <w:t>Т</w:t>
      </w:r>
      <w:r w:rsidRPr="00B43472">
        <w:rPr>
          <w:lang w:val="en-US"/>
        </w:rPr>
        <w:t xml:space="preserve">. 18, № 1 (406). </w:t>
      </w:r>
      <w:r>
        <w:t>С</w:t>
      </w:r>
      <w:r w:rsidRPr="00B43472">
        <w:rPr>
          <w:lang w:val="en-US"/>
        </w:rPr>
        <w:t>. 177–202. DOI 10.24891/ni.18.1.177. EDN PGZZWV.</w:t>
      </w:r>
    </w:p>
    <w:p w:rsidR="00B43472" w:rsidRPr="00B43472" w:rsidRDefault="00B43472" w:rsidP="00B43472">
      <w:pPr>
        <w:rPr>
          <w:lang w:val="en-US"/>
        </w:rPr>
      </w:pPr>
    </w:p>
    <w:p w:rsidR="00B43472" w:rsidRPr="00B43472" w:rsidRDefault="00B43472" w:rsidP="00B43472">
      <w:pPr>
        <w:rPr>
          <w:lang w:val="en-US"/>
        </w:rPr>
      </w:pPr>
      <w:r w:rsidRPr="00B43472">
        <w:rPr>
          <w:lang w:val="en-US"/>
        </w:rPr>
        <w:t>19. DOR, A. B., FLORIG, S., GUAN, J., &amp; ZENG, X. (2021). Beta Instability and Implications for Hedging Sys- tematic Risk: Takeaways from the COVID-19 Cri- sis. The Journal of Portfolio Management, 47(6), 139–155. https://doi.org/10.3905/jpm.2021.1.233.</w:t>
      </w:r>
    </w:p>
    <w:p w:rsidR="00B43472" w:rsidRPr="00B43472" w:rsidRDefault="00B43472" w:rsidP="00B43472">
      <w:pPr>
        <w:rPr>
          <w:lang w:val="en-US"/>
        </w:rPr>
      </w:pPr>
    </w:p>
    <w:p w:rsidR="00B43472" w:rsidRPr="00B43472" w:rsidRDefault="00B43472" w:rsidP="00B43472">
      <w:pPr>
        <w:rPr>
          <w:lang w:val="en-US"/>
        </w:rPr>
      </w:pPr>
      <w:r w:rsidRPr="00B43472">
        <w:rPr>
          <w:lang w:val="en-US"/>
        </w:rPr>
        <w:t>20. DE SPIEGELEER, J., HÖCHT, S., JAKUBOWSKI, D., REYNERS, S., &amp; SCHOUTENS, W. (2021). ESG: A new dimension in portfolio allocation. Journal of Sustain- able Finance &amp; Investment, 13(2), 827–867. https:// doi.org/10.1080/20430795.2021.1923336.</w:t>
      </w:r>
      <w:bookmarkStart w:id="0" w:name="_GoBack"/>
      <w:bookmarkEnd w:id="0"/>
    </w:p>
    <w:sectPr w:rsidR="00B43472" w:rsidRPr="00B43472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72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B4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B34FC6"/>
  <w15:chartTrackingRefBased/>
  <w15:docId w15:val="{A8CE2B44-09B3-7540-94B5-40E4C85E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2025-07-17T16:36:00Z</dcterms:created>
  <dcterms:modified xsi:type="dcterms:W3CDTF">2025-07-17T16:37:00Z</dcterms:modified>
</cp:coreProperties>
</file>