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0F78" w14:textId="7DE0B65E" w:rsidR="00957BEC" w:rsidRDefault="008A3A01">
      <w:pPr>
        <w:pStyle w:val="af6"/>
        <w:rPr>
          <w:color w:val="auto"/>
          <w:sz w:val="28"/>
          <w:szCs w:val="22"/>
        </w:rPr>
      </w:pPr>
      <w:r w:rsidRPr="003F0995">
        <w:rPr>
          <w:color w:val="auto"/>
          <w:sz w:val="28"/>
          <w:szCs w:val="22"/>
        </w:rPr>
        <w:t>REFERENCES</w:t>
      </w:r>
    </w:p>
    <w:p w14:paraId="4491196E" w14:textId="77777777" w:rsidR="00C32C81" w:rsidRPr="003F0995" w:rsidRDefault="00C32C81">
      <w:pPr>
        <w:pStyle w:val="af6"/>
        <w:rPr>
          <w:color w:val="auto"/>
          <w:sz w:val="28"/>
          <w:szCs w:val="22"/>
        </w:rPr>
      </w:pPr>
    </w:p>
    <w:p w14:paraId="2D3E44E7" w14:textId="4269BABD" w:rsidR="00CB3187" w:rsidRPr="003F0995" w:rsidRDefault="00E54078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Style w:val="af2"/>
          <w:rFonts w:ascii="Times New Roman" w:hAnsi="Times New Roman"/>
          <w:color w:val="auto"/>
          <w:sz w:val="28"/>
          <w:szCs w:val="28"/>
          <w:lang w:val="en-US"/>
        </w:rPr>
      </w:pP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 xml:space="preserve">Abdelwahed, L.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>2020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) 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>More oil, more or less taxes? New evidence on the impact of resource revenue on domestic tax revenue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437C9F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Resources Policy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>68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),</w:t>
      </w:r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 xml:space="preserve"> 101747. </w:t>
      </w:r>
      <w:hyperlink r:id="rId8" w:history="1">
        <w:r w:rsidR="00A52A68" w:rsidRPr="006122D5">
          <w:rPr>
            <w:rStyle w:val="af2"/>
            <w:rFonts w:ascii="Times New Roman" w:hAnsi="Times New Roman"/>
            <w:sz w:val="28"/>
            <w:szCs w:val="28"/>
            <w:lang w:val="en-US"/>
          </w:rPr>
          <w:t>https://doi.org/10.1016/j.resourpol.2020.101747</w:t>
        </w:r>
      </w:hyperlink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hyperlink r:id="rId9" w:history="1">
        <w:r w:rsidR="005F662E" w:rsidRPr="006122D5">
          <w:rPr>
            <w:rStyle w:val="af2"/>
            <w:rFonts w:ascii="Times New Roman" w:hAnsi="Times New Roman"/>
            <w:sz w:val="28"/>
            <w:szCs w:val="28"/>
            <w:lang w:val="en-US"/>
          </w:rPr>
          <w:t>https://elibrary.ru/tekpfw</w:t>
        </w:r>
      </w:hyperlink>
      <w:r w:rsidRPr="00E54078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48E62A8F" w14:textId="79924A77" w:rsidR="00CB3187" w:rsidRPr="003F0995" w:rsidRDefault="00CB3187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Liu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X. L.,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Nassios</w:t>
      </w:r>
      <w:proofErr w:type="spellEnd"/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J</w:t>
      </w:r>
      <w:r w:rsidR="0078125D">
        <w:rPr>
          <w:rFonts w:ascii="Times New Roman" w:hAnsi="Times New Roman"/>
          <w:color w:val="auto"/>
          <w:sz w:val="28"/>
          <w:szCs w:val="22"/>
          <w:lang w:val="en-US"/>
        </w:rPr>
        <w:t>a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., Giesecke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J</w:t>
      </w:r>
      <w:r w:rsidR="0078125D">
        <w:rPr>
          <w:rFonts w:ascii="Times New Roman" w:hAnsi="Times New Roman"/>
          <w:color w:val="auto"/>
          <w:sz w:val="28"/>
          <w:szCs w:val="22"/>
          <w:lang w:val="en-US"/>
        </w:rPr>
        <w:t>a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A26D91" w:rsidRPr="003F0995">
        <w:rPr>
          <w:rFonts w:ascii="Times New Roman" w:hAnsi="Times New Roman"/>
          <w:color w:val="auto"/>
          <w:sz w:val="28"/>
          <w:szCs w:val="22"/>
          <w:lang w:val="en-US"/>
        </w:rPr>
        <w:t>2024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78125D" w:rsidRPr="0078125D">
        <w:rPr>
          <w:rFonts w:ascii="Times New Roman" w:hAnsi="Times New Roman"/>
          <w:color w:val="auto"/>
          <w:sz w:val="28"/>
          <w:szCs w:val="22"/>
          <w:lang w:val="en-US"/>
        </w:rPr>
        <w:t>To tax or to spend? Modelling tax policy responses to oil price shocks</w:t>
      </w:r>
      <w:r w:rsidR="0078125D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78125D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Energy Policy</w:t>
      </w:r>
      <w:r w:rsidR="0078125D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A26D91" w:rsidRPr="00A26D91">
        <w:rPr>
          <w:rFonts w:ascii="Times New Roman" w:hAnsi="Times New Roman"/>
          <w:color w:val="auto"/>
          <w:sz w:val="28"/>
          <w:szCs w:val="22"/>
          <w:lang w:val="en-US"/>
        </w:rPr>
        <w:t>185</w:t>
      </w:r>
      <w:r w:rsidR="00A26D91">
        <w:rPr>
          <w:rFonts w:ascii="Times New Roman" w:hAnsi="Times New Roman"/>
          <w:color w:val="auto"/>
          <w:sz w:val="28"/>
          <w:szCs w:val="22"/>
          <w:lang w:val="en-US"/>
        </w:rPr>
        <w:t xml:space="preserve">), </w:t>
      </w:r>
      <w:r w:rsidR="00A26D91" w:rsidRPr="00A26D91">
        <w:rPr>
          <w:rFonts w:ascii="Times New Roman" w:hAnsi="Times New Roman"/>
          <w:color w:val="auto"/>
          <w:sz w:val="28"/>
          <w:szCs w:val="22"/>
          <w:lang w:val="en-US"/>
        </w:rPr>
        <w:t xml:space="preserve">113929. </w:t>
      </w:r>
      <w:hyperlink r:id="rId10" w:history="1">
        <w:r w:rsidR="00A26D91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https://doi.org/10.1016/j.enpol.2023.113929</w:t>
        </w:r>
      </w:hyperlink>
      <w:r w:rsidR="00A26D91" w:rsidRPr="00A26D91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11" w:history="1">
        <w:r w:rsidR="00A26D91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https://elibrary.ru/haosgf</w:t>
        </w:r>
      </w:hyperlink>
      <w:r w:rsidR="00A26D91" w:rsidRPr="00A26D91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35090F82" w14:textId="11BF1F37" w:rsidR="00957BEC" w:rsidRPr="003F0995" w:rsidRDefault="00DD185B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Plyaskina</w:t>
      </w:r>
      <w:proofErr w:type="spellEnd"/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, N. I. </w:t>
      </w:r>
      <w:r w:rsidR="0073703F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73703F" w:rsidRPr="00DD185B">
        <w:rPr>
          <w:rFonts w:ascii="Times New Roman" w:hAnsi="Times New Roman"/>
          <w:color w:val="auto"/>
          <w:sz w:val="28"/>
          <w:szCs w:val="22"/>
          <w:lang w:val="en-US"/>
        </w:rPr>
        <w:t>2022</w:t>
      </w:r>
      <w:r w:rsidR="0073703F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Oil Tax Maneuver: Analysis of the Consequences and Forecast of the Impact on the Development of a Company</w:t>
      </w:r>
      <w:r w:rsidR="0073703F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73703F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Studies on Russian Economic Development</w:t>
      </w:r>
      <w:r w:rsidR="0073703F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 33</w:t>
      </w:r>
      <w:r w:rsidR="001D6D37">
        <w:rPr>
          <w:rFonts w:ascii="Times New Roman" w:hAnsi="Times New Roman"/>
          <w:color w:val="auto"/>
          <w:sz w:val="28"/>
          <w:szCs w:val="22"/>
          <w:lang w:val="en-US"/>
        </w:rPr>
        <w:t xml:space="preserve"> (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4</w:t>
      </w:r>
      <w:r w:rsidR="001D6D37">
        <w:rPr>
          <w:rFonts w:ascii="Times New Roman" w:hAnsi="Times New Roman"/>
          <w:color w:val="auto"/>
          <w:sz w:val="28"/>
          <w:szCs w:val="22"/>
          <w:lang w:val="en-US"/>
        </w:rPr>
        <w:t>), pp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. 377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384. </w:t>
      </w:r>
      <w:hyperlink r:id="rId12" w:history="1">
        <w:r w:rsidR="001D6D37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https://doi.org/10.1134/s1075700722040062</w:t>
        </w:r>
      </w:hyperlink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13" w:history="1">
        <w:r w:rsidR="001D6D37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https://elibrary.ru/fcwduv</w:t>
        </w:r>
      </w:hyperlink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3DE4E6BC" w14:textId="7C3FBFBF" w:rsidR="00CB3187" w:rsidRPr="003F0995" w:rsidRDefault="0065146B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Ozdoeva</w:t>
      </w:r>
      <w:proofErr w:type="spellEnd"/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A.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H. 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F93217" w:rsidRPr="003F0995">
        <w:rPr>
          <w:rFonts w:ascii="Times New Roman" w:hAnsi="Times New Roman"/>
          <w:color w:val="auto"/>
          <w:sz w:val="28"/>
          <w:szCs w:val="22"/>
          <w:lang w:val="en-US"/>
        </w:rPr>
        <w:t>2024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4F559B" w:rsidRPr="004F559B">
        <w:rPr>
          <w:rFonts w:ascii="Times New Roman" w:hAnsi="Times New Roman"/>
          <w:color w:val="auto"/>
          <w:sz w:val="28"/>
          <w:szCs w:val="22"/>
          <w:lang w:val="en-US"/>
        </w:rPr>
        <w:t>An analysis of the main aspects of the tax regulation system of the industry in order to provide the sustainable development of the oil and gas business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spellStart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Problemy</w:t>
      </w:r>
      <w:proofErr w:type="spellEnd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</w:t>
      </w:r>
      <w:proofErr w:type="spellStart"/>
      <w:r w:rsid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e</w:t>
      </w:r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konomiki</w:t>
      </w:r>
      <w:proofErr w:type="spellEnd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</w:t>
      </w:r>
      <w:proofErr w:type="spellStart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i</w:t>
      </w:r>
      <w:proofErr w:type="spellEnd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</w:t>
      </w:r>
      <w:proofErr w:type="spellStart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upravleni</w:t>
      </w:r>
      <w:r w:rsid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a</w:t>
      </w:r>
      <w:proofErr w:type="spellEnd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</w:t>
      </w:r>
      <w:proofErr w:type="spellStart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neftegazovym</w:t>
      </w:r>
      <w:proofErr w:type="spellEnd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</w:t>
      </w:r>
      <w:proofErr w:type="spellStart"/>
      <w:r w:rsidR="000C5AE6" w:rsidRPr="000C5AE6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kompleksom</w:t>
      </w:r>
      <w:proofErr w:type="spellEnd"/>
      <w:r w:rsidR="00F93217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 xml:space="preserve">no.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8 (236)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 xml:space="preserve">,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pp. 27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33</w:t>
      </w:r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hyperlink r:id="rId14" w:history="1">
        <w:r w:rsidR="004F559B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https://elibrary.ru/cbeobr</w:t>
        </w:r>
      </w:hyperlink>
      <w:r w:rsidR="00F93217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1D4EBC9A" w14:textId="0E8A852C" w:rsidR="0065146B" w:rsidRPr="003F0995" w:rsidRDefault="0065146B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Peralta</w:t>
      </w:r>
      <w:r w:rsidR="00FC309E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FC309E" w:rsidRPr="003F0995">
        <w:rPr>
          <w:rFonts w:ascii="Times New Roman" w:hAnsi="Times New Roman"/>
          <w:color w:val="auto"/>
          <w:sz w:val="28"/>
          <w:szCs w:val="28"/>
          <w:lang w:val="en-US"/>
        </w:rPr>
        <w:t>A</w:t>
      </w:r>
      <w:r w:rsidR="00FC309E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0F49CE" w:rsidRPr="000F49C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FC309E" w:rsidRPr="003F0995">
        <w:rPr>
          <w:rFonts w:ascii="Times New Roman" w:hAnsi="Times New Roman"/>
          <w:color w:val="auto"/>
          <w:sz w:val="28"/>
          <w:szCs w:val="28"/>
          <w:lang w:val="en-US"/>
        </w:rPr>
        <w:t>F.</w:t>
      </w:r>
      <w:r w:rsidR="00FC309E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F93217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Botechia</w:t>
      </w:r>
      <w:proofErr w:type="spellEnd"/>
      <w:r w:rsidR="00FC309E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FC309E" w:rsidRPr="00FC309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FC309E" w:rsidRPr="003F0995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="00FC309E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0F49CE" w:rsidRPr="000F49C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FC309E" w:rsidRPr="003F0995">
        <w:rPr>
          <w:rFonts w:ascii="Times New Roman" w:hAnsi="Times New Roman"/>
          <w:color w:val="auto"/>
          <w:sz w:val="28"/>
          <w:szCs w:val="28"/>
          <w:lang w:val="en-US"/>
        </w:rPr>
        <w:t>E.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F93217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Santos</w:t>
      </w:r>
      <w:r w:rsidR="00BE7FFA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BE7FFA" w:rsidRPr="00BE7FFA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E7FFA" w:rsidRPr="003F0995">
        <w:rPr>
          <w:rFonts w:ascii="Times New Roman" w:hAnsi="Times New Roman"/>
          <w:color w:val="auto"/>
          <w:sz w:val="28"/>
          <w:szCs w:val="28"/>
          <w:lang w:val="en-US"/>
        </w:rPr>
        <w:t>A</w:t>
      </w:r>
      <w:r w:rsidR="00BE7FFA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0F49CE" w:rsidRPr="000F49C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E7FFA" w:rsidRPr="003F0995">
        <w:rPr>
          <w:rFonts w:ascii="Times New Roman" w:hAnsi="Times New Roman"/>
          <w:color w:val="auto"/>
          <w:sz w:val="28"/>
          <w:szCs w:val="28"/>
          <w:lang w:val="en-US"/>
        </w:rPr>
        <w:t>A.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F93217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Schiozer</w:t>
      </w:r>
      <w:proofErr w:type="spellEnd"/>
      <w:r w:rsidR="00BE7FFA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E7FFA" w:rsidRPr="003F0995">
        <w:rPr>
          <w:rFonts w:ascii="Times New Roman" w:hAnsi="Times New Roman"/>
          <w:color w:val="auto"/>
          <w:sz w:val="28"/>
          <w:szCs w:val="28"/>
          <w:lang w:val="en-US"/>
        </w:rPr>
        <w:t>D.</w:t>
      </w:r>
      <w:r w:rsidR="000F49CE" w:rsidRPr="000F49C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E7FFA" w:rsidRPr="003F0995">
        <w:rPr>
          <w:rFonts w:ascii="Times New Roman" w:hAnsi="Times New Roman"/>
          <w:color w:val="auto"/>
          <w:sz w:val="28"/>
          <w:szCs w:val="28"/>
          <w:lang w:val="en-US"/>
        </w:rPr>
        <w:t>J.</w:t>
      </w:r>
      <w:r w:rsidR="00BE7FFA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617626">
        <w:rPr>
          <w:rFonts w:ascii="Times New Roman" w:hAnsi="Times New Roman"/>
          <w:color w:val="auto"/>
          <w:sz w:val="28"/>
          <w:szCs w:val="28"/>
          <w:lang w:val="en-US"/>
        </w:rPr>
        <w:t xml:space="preserve">(2025) 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Model-based production strategy optimization for a heavy oil reservoir considering waterflooding and intelligent wells</w:t>
      </w:r>
      <w:r w:rsidR="0041778F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1778F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Geoenergy</w:t>
      </w:r>
      <w:proofErr w:type="spellEnd"/>
      <w:r w:rsidRPr="0041778F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 Science and Engineering</w:t>
      </w:r>
      <w:r w:rsidR="0041778F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617626"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="00617626" w:rsidRPr="00617626">
        <w:rPr>
          <w:rFonts w:ascii="Times New Roman" w:hAnsi="Times New Roman"/>
          <w:color w:val="auto"/>
          <w:sz w:val="28"/>
          <w:szCs w:val="28"/>
          <w:lang w:val="en-US"/>
        </w:rPr>
        <w:t>246</w:t>
      </w:r>
      <w:r w:rsidR="00617626">
        <w:rPr>
          <w:rFonts w:ascii="Times New Roman" w:hAnsi="Times New Roman"/>
          <w:color w:val="auto"/>
          <w:sz w:val="28"/>
          <w:szCs w:val="28"/>
          <w:lang w:val="en-US"/>
        </w:rPr>
        <w:t>)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hyperlink r:id="rId15" w:history="1">
        <w:r w:rsidR="00942640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</w:t>
        </w:r>
        <w:r w:rsidR="00942640" w:rsidRPr="006122D5">
          <w:rPr>
            <w:rStyle w:val="af2"/>
            <w:rFonts w:ascii="Times New Roman" w:hAnsi="Times New Roman"/>
            <w:sz w:val="28"/>
            <w:szCs w:val="28"/>
            <w:lang w:val="en-US"/>
          </w:rPr>
          <w:t>10.1016/j.geoen.2024.213457</w:t>
        </w:r>
      </w:hyperlink>
      <w:r w:rsidR="009426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2B97590F" w14:textId="38614A9A" w:rsidR="0065146B" w:rsidRPr="003F0995" w:rsidRDefault="00DD5536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Burenina</w:t>
      </w:r>
      <w:proofErr w:type="spellEnd"/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V., Gamilova</w:t>
      </w:r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D.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A. </w:t>
      </w:r>
      <w:r w:rsidR="00CE48C6">
        <w:rPr>
          <w:rFonts w:ascii="Times New Roman" w:hAnsi="Times New Roman"/>
          <w:color w:val="auto"/>
          <w:sz w:val="28"/>
          <w:szCs w:val="22"/>
          <w:lang w:val="en-US"/>
        </w:rPr>
        <w:t xml:space="preserve">(2009)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Features of assessing the production potential of an oil and gas producing enterprise</w:t>
      </w:r>
      <w:r w:rsidR="00785C90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785C90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Notes of the Mining Institute</w:t>
      </w:r>
      <w:r w:rsidR="00785C90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184</w:t>
      </w:r>
      <w:r w:rsidR="00CE48C6">
        <w:rPr>
          <w:rFonts w:ascii="Times New Roman" w:hAnsi="Times New Roman"/>
          <w:color w:val="auto"/>
          <w:sz w:val="28"/>
          <w:szCs w:val="22"/>
          <w:lang w:val="en-US"/>
        </w:rPr>
        <w:t>, pp. 118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="00CE48C6">
        <w:rPr>
          <w:rFonts w:ascii="Times New Roman" w:hAnsi="Times New Roman"/>
          <w:color w:val="auto"/>
          <w:sz w:val="28"/>
          <w:szCs w:val="22"/>
          <w:lang w:val="en-US"/>
        </w:rPr>
        <w:t>120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16" w:history="1">
        <w:r w:rsidR="008B500E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https://elibrary.ru/renroj</w:t>
        </w:r>
      </w:hyperlink>
      <w:r w:rsidR="00785C90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07C1762B" w14:textId="1FCD8D76" w:rsidR="00DD5536" w:rsidRPr="003F0995" w:rsidRDefault="00DD5536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Lebedev</w:t>
      </w:r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A.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S., Karnaukhov</w:t>
      </w:r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M.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N.,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Osinovskaya</w:t>
      </w:r>
      <w:proofErr w:type="spellEnd"/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V. </w:t>
      </w:r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097658" w:rsidRPr="00097658">
        <w:rPr>
          <w:rFonts w:ascii="Times New Roman" w:hAnsi="Times New Roman"/>
          <w:color w:val="auto"/>
          <w:sz w:val="28"/>
          <w:szCs w:val="22"/>
          <w:lang w:val="en-US"/>
        </w:rPr>
        <w:t>2009</w:t>
      </w:r>
      <w:r w:rsidR="00097658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Planning the effective use of production and resource potential in oil production. </w:t>
      </w:r>
      <w:r w:rsidRPr="00097658">
        <w:rPr>
          <w:rFonts w:ascii="Times New Roman" w:hAnsi="Times New Roman"/>
          <w:color w:val="auto"/>
          <w:sz w:val="28"/>
          <w:szCs w:val="22"/>
          <w:lang w:val="en-US"/>
        </w:rPr>
        <w:t>St. Petersburg</w:t>
      </w:r>
      <w:r w:rsidR="009D54FB">
        <w:rPr>
          <w:rFonts w:ascii="Times New Roman" w:hAnsi="Times New Roman"/>
          <w:color w:val="auto"/>
          <w:sz w:val="28"/>
          <w:szCs w:val="22"/>
          <w:lang w:val="en-US"/>
        </w:rPr>
        <w:t xml:space="preserve">, Publ. </w:t>
      </w:r>
      <w:r w:rsidRPr="00097658">
        <w:rPr>
          <w:rFonts w:ascii="Times New Roman" w:hAnsi="Times New Roman"/>
          <w:color w:val="auto"/>
          <w:sz w:val="28"/>
          <w:szCs w:val="22"/>
          <w:lang w:val="en-US"/>
        </w:rPr>
        <w:t>Nedra, 21</w:t>
      </w:r>
      <w:r w:rsidR="009D54FB">
        <w:rPr>
          <w:rFonts w:ascii="Times New Roman" w:hAnsi="Times New Roman"/>
          <w:color w:val="auto"/>
          <w:sz w:val="28"/>
          <w:szCs w:val="22"/>
          <w:lang w:val="en-US"/>
        </w:rPr>
        <w:t>6</w:t>
      </w:r>
      <w:r w:rsidRPr="00097658">
        <w:rPr>
          <w:rFonts w:ascii="Times New Roman" w:hAnsi="Times New Roman"/>
          <w:color w:val="auto"/>
          <w:sz w:val="28"/>
          <w:szCs w:val="22"/>
          <w:lang w:val="en-US"/>
        </w:rPr>
        <w:t xml:space="preserve"> p. </w:t>
      </w:r>
      <w:hyperlink r:id="rId17" w:history="1">
        <w:r w:rsidR="009D54FB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https://elibrary.ru/qmyywb</w:t>
        </w:r>
      </w:hyperlink>
      <w:r w:rsidR="009D54FB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0D5038CC" w14:textId="2BB8B20C" w:rsidR="00DD5536" w:rsidRPr="003F0995" w:rsidRDefault="00C22792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Burenina</w:t>
      </w:r>
      <w:proofErr w:type="spellEnd"/>
      <w:r w:rsidR="00923780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V. </w:t>
      </w:r>
      <w:r w:rsidR="00923780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923780" w:rsidRPr="00923780">
        <w:rPr>
          <w:rFonts w:ascii="Times New Roman" w:hAnsi="Times New Roman"/>
          <w:color w:val="auto"/>
          <w:sz w:val="28"/>
          <w:szCs w:val="22"/>
          <w:lang w:val="en-US"/>
        </w:rPr>
        <w:t>2011</w:t>
      </w:r>
      <w:r w:rsidR="00923780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Process-target approach to improving the economic efficiency of oil and gas production enterprises. </w:t>
      </w:r>
      <w:r w:rsidRPr="00923780">
        <w:rPr>
          <w:rFonts w:ascii="Times New Roman" w:hAnsi="Times New Roman"/>
          <w:color w:val="auto"/>
          <w:sz w:val="28"/>
          <w:szCs w:val="22"/>
          <w:lang w:val="en-US"/>
        </w:rPr>
        <w:t>St. Petersburg</w:t>
      </w:r>
      <w:r w:rsidR="00923780">
        <w:rPr>
          <w:rFonts w:ascii="Times New Roman" w:hAnsi="Times New Roman"/>
          <w:color w:val="auto"/>
          <w:sz w:val="28"/>
          <w:szCs w:val="22"/>
          <w:lang w:val="en-US"/>
        </w:rPr>
        <w:t xml:space="preserve">, Publ. </w:t>
      </w:r>
      <w:r w:rsidRPr="00923780">
        <w:rPr>
          <w:rFonts w:ascii="Times New Roman" w:hAnsi="Times New Roman"/>
          <w:color w:val="auto"/>
          <w:sz w:val="28"/>
          <w:szCs w:val="22"/>
          <w:lang w:val="en-US"/>
        </w:rPr>
        <w:t xml:space="preserve">Nedra, 264 p. </w:t>
      </w:r>
      <w:hyperlink r:id="rId18" w:history="1">
        <w:bookmarkStart w:id="0" w:name="_Hlk206445878"/>
        <w:r w:rsidR="00067314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</w:t>
        </w:r>
        <w:bookmarkEnd w:id="0"/>
        <w:r w:rsidR="00067314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tsygyn</w:t>
        </w:r>
      </w:hyperlink>
      <w:r w:rsidR="00067314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0A9A17DE" w14:textId="57FE6799" w:rsidR="00C22792" w:rsidRPr="003F0995" w:rsidRDefault="00191396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Kurganov, D. V. </w:t>
      </w:r>
      <w:r w:rsidR="009D008C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9D008C" w:rsidRPr="003F0995">
        <w:rPr>
          <w:rFonts w:ascii="Times New Roman" w:hAnsi="Times New Roman"/>
          <w:color w:val="auto"/>
          <w:sz w:val="28"/>
          <w:szCs w:val="22"/>
          <w:lang w:val="en-US"/>
        </w:rPr>
        <w:t>2019</w:t>
      </w:r>
      <w:r w:rsidR="009D008C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BD44C2" w:rsidRPr="00BD44C2">
        <w:rPr>
          <w:rFonts w:ascii="Times New Roman" w:hAnsi="Times New Roman"/>
          <w:color w:val="auto"/>
          <w:sz w:val="28"/>
          <w:szCs w:val="22"/>
          <w:lang w:val="en-US"/>
        </w:rPr>
        <w:t xml:space="preserve">Calculation of additional oil production after well's conversion to </w:t>
      </w:r>
      <w:proofErr w:type="spellStart"/>
      <w:r w:rsidR="00BD44C2" w:rsidRPr="00BD44C2">
        <w:rPr>
          <w:rFonts w:ascii="Times New Roman" w:hAnsi="Times New Roman"/>
          <w:color w:val="auto"/>
          <w:sz w:val="28"/>
          <w:szCs w:val="22"/>
          <w:lang w:val="en-US"/>
        </w:rPr>
        <w:t>inlector</w:t>
      </w:r>
      <w:proofErr w:type="spellEnd"/>
      <w:r w:rsidR="00BD44C2" w:rsidRPr="00BD44C2">
        <w:rPr>
          <w:rFonts w:ascii="Times New Roman" w:hAnsi="Times New Roman"/>
          <w:color w:val="auto"/>
          <w:sz w:val="28"/>
          <w:szCs w:val="22"/>
          <w:lang w:val="en-US"/>
        </w:rPr>
        <w:t xml:space="preserve"> in oil reservoir management</w:t>
      </w:r>
      <w:r w:rsidR="009D008C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9D008C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Management of large systems: proceedings</w:t>
      </w:r>
      <w:r w:rsidR="009D008C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81</w:t>
      </w:r>
      <w:r w:rsidR="009D008C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pp. 147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167. </w:t>
      </w:r>
      <w:hyperlink r:id="rId19" w:history="1">
        <w:r w:rsidR="00BD44C2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https://doi.org/10.25728/ubs.2019.81.6</w:t>
        </w:r>
      </w:hyperlink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0" w:history="1">
        <w:r w:rsidR="00BD44C2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https://elibrary.ru/anoxee</w:t>
        </w:r>
      </w:hyperlink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27CFBF68" w14:textId="54DE0D4F" w:rsidR="00191396" w:rsidRPr="005329F4" w:rsidRDefault="00061D1F" w:rsidP="005329F4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5329F4">
        <w:rPr>
          <w:rFonts w:ascii="Times New Roman" w:hAnsi="Times New Roman"/>
          <w:color w:val="auto"/>
          <w:sz w:val="28"/>
          <w:szCs w:val="22"/>
          <w:lang w:val="en-US"/>
        </w:rPr>
        <w:t>Tomazova</w:t>
      </w:r>
      <w:proofErr w:type="spellEnd"/>
      <w:r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, O. V. </w:t>
      </w:r>
      <w:r w:rsidR="00354606"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(2023) </w:t>
      </w:r>
      <w:r w:rsidR="005329F4"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Development of a methodological approach to making management decisions on the restoration or reconstruction of an oil well. </w:t>
      </w:r>
      <w:r w:rsidR="005329F4" w:rsidRPr="005329F4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The Eurasian Scientific Journal</w:t>
      </w:r>
      <w:r w:rsidR="00354606" w:rsidRPr="005329F4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 15</w:t>
      </w:r>
      <w:r w:rsidR="00354606"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 (</w:t>
      </w:r>
      <w:r w:rsidRPr="005329F4">
        <w:rPr>
          <w:rFonts w:ascii="Times New Roman" w:hAnsi="Times New Roman"/>
          <w:color w:val="auto"/>
          <w:sz w:val="28"/>
          <w:szCs w:val="22"/>
          <w:lang w:val="en-US"/>
        </w:rPr>
        <w:t>6</w:t>
      </w:r>
      <w:r w:rsidR="00354606" w:rsidRPr="005329F4">
        <w:rPr>
          <w:rFonts w:ascii="Times New Roman" w:hAnsi="Times New Roman"/>
          <w:color w:val="auto"/>
          <w:sz w:val="28"/>
          <w:szCs w:val="22"/>
          <w:lang w:val="en-US"/>
        </w:rPr>
        <w:t>)</w:t>
      </w:r>
      <w:r w:rsidRPr="005329F4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1" w:history="1">
        <w:r w:rsidR="005329F4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https://elibrary.ru/pxsxka</w:t>
        </w:r>
      </w:hyperlink>
      <w:r w:rsidR="00354606" w:rsidRPr="005329F4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5C400E6E" w14:textId="67934974" w:rsidR="005D795F" w:rsidRPr="003F0995" w:rsidRDefault="00B32B31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Burenina, I. V. </w:t>
      </w:r>
      <w:r w:rsidR="00A9045B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A9045B" w:rsidRPr="003F0995">
        <w:rPr>
          <w:rFonts w:ascii="Times New Roman" w:hAnsi="Times New Roman"/>
          <w:color w:val="auto"/>
          <w:sz w:val="28"/>
          <w:szCs w:val="22"/>
          <w:lang w:val="en-US"/>
        </w:rPr>
        <w:t>2016</w:t>
      </w:r>
      <w:r w:rsidR="00A9045B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A26CC5" w:rsidRPr="00A26CC5">
        <w:rPr>
          <w:rFonts w:ascii="Times New Roman" w:hAnsi="Times New Roman"/>
          <w:color w:val="auto"/>
          <w:sz w:val="28"/>
          <w:szCs w:val="22"/>
          <w:lang w:val="en-US"/>
        </w:rPr>
        <w:t>The economic approach to the management of the fund of oil wells, taking into account environmental factors</w:t>
      </w:r>
      <w:r w:rsidR="00A9045B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A9045B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Eurasian Law Journal</w:t>
      </w:r>
      <w:r w:rsidR="00A9045B">
        <w:rPr>
          <w:rFonts w:ascii="Times New Roman" w:hAnsi="Times New Roman"/>
          <w:color w:val="auto"/>
          <w:sz w:val="28"/>
          <w:szCs w:val="22"/>
          <w:lang w:val="en-US"/>
        </w:rPr>
        <w:t xml:space="preserve">, no.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4</w:t>
      </w:r>
      <w:r w:rsidR="000F49CE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(95)</w:t>
      </w:r>
      <w:r w:rsidR="00A9045B">
        <w:rPr>
          <w:rFonts w:ascii="Times New Roman" w:hAnsi="Times New Roman"/>
          <w:color w:val="auto"/>
          <w:sz w:val="28"/>
          <w:szCs w:val="22"/>
          <w:lang w:val="en-US"/>
        </w:rPr>
        <w:t>, p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p. 332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334. </w:t>
      </w:r>
      <w:hyperlink r:id="rId22" w:history="1">
        <w:bookmarkStart w:id="1" w:name="_Hlk206446431"/>
        <w:r w:rsidR="00F547ED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</w:t>
        </w:r>
        <w:bookmarkEnd w:id="1"/>
        <w:r w:rsidR="00F547ED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vzwhjf</w:t>
        </w:r>
      </w:hyperlink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33585F96" w14:textId="47EA7259" w:rsidR="005D795F" w:rsidRPr="003F0995" w:rsidRDefault="005D795F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Khalidov</w:t>
      </w:r>
      <w:r w:rsidR="000A01F8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I., </w:t>
      </w:r>
      <w:proofErr w:type="spellStart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Milovidov</w:t>
      </w:r>
      <w:proofErr w:type="spellEnd"/>
      <w:r w:rsidR="000A01F8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K., Soltakhanov</w:t>
      </w:r>
      <w:r w:rsidR="000A01F8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A. </w:t>
      </w:r>
      <w:r w:rsidR="000A01F8"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="000A01F8" w:rsidRPr="003F0995">
        <w:rPr>
          <w:rFonts w:ascii="Times New Roman" w:hAnsi="Times New Roman"/>
          <w:color w:val="auto"/>
          <w:sz w:val="28"/>
          <w:szCs w:val="28"/>
          <w:lang w:val="en-US"/>
        </w:rPr>
        <w:t>2021</w:t>
      </w:r>
      <w:r w:rsidR="000A01F8">
        <w:rPr>
          <w:rFonts w:ascii="Times New Roman" w:hAnsi="Times New Roman"/>
          <w:color w:val="auto"/>
          <w:sz w:val="28"/>
          <w:szCs w:val="28"/>
          <w:lang w:val="en-US"/>
        </w:rPr>
        <w:t xml:space="preserve">) </w:t>
      </w:r>
      <w:r w:rsidR="004E0D98" w:rsidRPr="004E0D98">
        <w:rPr>
          <w:rFonts w:ascii="Times New Roman" w:hAnsi="Times New Roman"/>
          <w:color w:val="auto"/>
          <w:sz w:val="28"/>
          <w:szCs w:val="28"/>
          <w:lang w:val="en-US"/>
        </w:rPr>
        <w:t>Decommissioning of oil and gas assets: industrial and environmental security management, international experience and Russian practice</w:t>
      </w:r>
      <w:r w:rsidR="009614D0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14D0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Heliyon</w:t>
      </w:r>
      <w:proofErr w:type="spellEnd"/>
      <w:r w:rsidR="009614D0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7 (</w:t>
      </w:r>
      <w:r w:rsidR="009614D0">
        <w:rPr>
          <w:rFonts w:ascii="Times New Roman" w:hAnsi="Times New Roman"/>
          <w:color w:val="auto"/>
          <w:sz w:val="28"/>
          <w:szCs w:val="28"/>
          <w:lang w:val="en-US"/>
        </w:rPr>
        <w:t>7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)</w:t>
      </w:r>
      <w:r w:rsidR="009614D0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9614D0" w:rsidRPr="009614D0">
        <w:rPr>
          <w:rFonts w:ascii="Times New Roman" w:hAnsi="Times New Roman"/>
          <w:color w:val="auto"/>
          <w:sz w:val="28"/>
          <w:szCs w:val="28"/>
          <w:lang w:val="en-US"/>
        </w:rPr>
        <w:t>07646</w:t>
      </w:r>
      <w:r w:rsidR="009614D0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hyperlink r:id="rId23" w:history="1">
        <w:bookmarkStart w:id="2" w:name="_Hlk206447267"/>
        <w:r w:rsidR="009614D0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</w:t>
        </w:r>
        <w:bookmarkEnd w:id="2"/>
        <w:r w:rsidR="009614D0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10.1016/j.heliyon.2021.e07646</w:t>
        </w:r>
      </w:hyperlink>
      <w:r w:rsidR="009614D0" w:rsidRPr="009614D0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4" w:history="1">
        <w:r w:rsidR="009614D0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https://elibrary.ru/qxtfgp</w:t>
        </w:r>
      </w:hyperlink>
      <w:r w:rsidR="009614D0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5CF515E1" w14:textId="715922A3" w:rsidR="005D795F" w:rsidRPr="003F0995" w:rsidRDefault="00A059AE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lastRenderedPageBreak/>
        <w:t>Zainutdinov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R.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A.,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Krainova</w:t>
      </w:r>
      <w:proofErr w:type="spellEnd"/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E.</w:t>
      </w:r>
      <w:r w:rsidR="000F49CE" w:rsidRPr="000F49C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A. 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0D1CCB" w:rsidRPr="003F0995">
        <w:rPr>
          <w:rFonts w:ascii="Times New Roman" w:hAnsi="Times New Roman"/>
          <w:color w:val="auto"/>
          <w:sz w:val="28"/>
          <w:szCs w:val="22"/>
          <w:lang w:val="en-US"/>
        </w:rPr>
        <w:t>2002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Theory and practice of economic assessment of increasing the efficiency of oil and gas production. M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oscow,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GUP Publishing House </w:t>
      </w:r>
      <w:r w:rsidR="00B61215">
        <w:rPr>
          <w:rFonts w:ascii="Times New Roman" w:hAnsi="Times New Roman"/>
          <w:color w:val="auto"/>
          <w:sz w:val="28"/>
          <w:szCs w:val="22"/>
          <w:lang w:val="en-US"/>
        </w:rPr>
        <w:t>«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Oil and Gas</w:t>
      </w:r>
      <w:r w:rsidR="00B61215">
        <w:rPr>
          <w:rFonts w:ascii="Times New Roman" w:hAnsi="Times New Roman"/>
          <w:color w:val="auto"/>
          <w:sz w:val="28"/>
          <w:szCs w:val="22"/>
          <w:lang w:val="en-US"/>
        </w:rPr>
        <w:t>»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Gubkin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Russian State University of Oil and Gas, 384 p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1A4ED330" w14:textId="3E43978A" w:rsidR="00A059AE" w:rsidRPr="003F0995" w:rsidRDefault="005A6140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Gamilova</w:t>
      </w:r>
      <w:proofErr w:type="spellEnd"/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D.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A.,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Burenina</w:t>
      </w:r>
      <w:proofErr w:type="spellEnd"/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V., Zakharova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M. 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D747A5" w:rsidRPr="000D1CCB">
        <w:rPr>
          <w:rFonts w:ascii="Times New Roman" w:hAnsi="Times New Roman"/>
          <w:color w:val="auto"/>
          <w:sz w:val="28"/>
          <w:szCs w:val="22"/>
          <w:lang w:val="en-US"/>
        </w:rPr>
        <w:t>2014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Economic justification of decision-making on the management of an inactive well fund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C72DB3" w:rsidRPr="00C72DB3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Notes of the Mining Institute</w:t>
      </w:r>
      <w:r w:rsidR="000D1CC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 208</w:t>
      </w:r>
      <w:r w:rsidR="00C72DB3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 p. 110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="00C72DB3">
        <w:rPr>
          <w:rFonts w:ascii="Times New Roman" w:hAnsi="Times New Roman"/>
          <w:color w:val="auto"/>
          <w:sz w:val="28"/>
          <w:szCs w:val="22"/>
          <w:lang w:val="en-US"/>
        </w:rPr>
        <w:t>113</w:t>
      </w:r>
      <w:r w:rsidRPr="000D1CCB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5" w:history="1">
        <w:r w:rsidR="004B0C62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https://elibrary.ru/sjucvt</w:t>
        </w:r>
      </w:hyperlink>
      <w:r w:rsidR="00C72DB3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5D1E8734" w14:textId="5FE31F90" w:rsidR="005A6140" w:rsidRPr="003F0995" w:rsidRDefault="00585BE8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Khalidov</w:t>
      </w:r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A., Milovidov</w:t>
      </w:r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K.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N. </w:t>
      </w:r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84733A" w:rsidRPr="003F0995">
        <w:rPr>
          <w:rFonts w:ascii="Times New Roman" w:hAnsi="Times New Roman"/>
          <w:color w:val="auto"/>
          <w:sz w:val="28"/>
          <w:szCs w:val="22"/>
          <w:lang w:val="en-US"/>
        </w:rPr>
        <w:t>2020</w:t>
      </w:r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Management of oil field development at a late stage in the context of tasks to eliminate production and abandonment of deposits</w:t>
      </w:r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spellStart"/>
      <w:r w:rsidR="00FC07FC" w:rsidRPr="00FC07FC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Mikro</w:t>
      </w:r>
      <w:r w:rsidR="00FC07FC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e</w:t>
      </w:r>
      <w:r w:rsidR="00FC07FC" w:rsidRPr="00FC07FC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konomika</w:t>
      </w:r>
      <w:proofErr w:type="spellEnd"/>
      <w:r w:rsidR="0084733A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FC07FC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1</w:t>
      </w:r>
      <w:r w:rsidR="00FC07FC">
        <w:rPr>
          <w:rFonts w:ascii="Times New Roman" w:hAnsi="Times New Roman"/>
          <w:color w:val="auto"/>
          <w:sz w:val="28"/>
          <w:szCs w:val="22"/>
          <w:lang w:val="en-US"/>
        </w:rPr>
        <w:t>), pp. 65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="00FC07FC">
        <w:rPr>
          <w:rFonts w:ascii="Times New Roman" w:hAnsi="Times New Roman"/>
          <w:color w:val="auto"/>
          <w:sz w:val="28"/>
          <w:szCs w:val="22"/>
          <w:lang w:val="en-US"/>
        </w:rPr>
        <w:t>73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6" w:history="1">
        <w:bookmarkStart w:id="3" w:name="_Hlk206448055"/>
        <w:r w:rsidR="00FC07FC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</w:t>
        </w:r>
        <w:bookmarkEnd w:id="3"/>
        <w:r w:rsidR="00FC07FC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10.33917/mic-1.90.2020.65-73</w:t>
        </w:r>
      </w:hyperlink>
      <w:r w:rsidR="00FC07FC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7" w:history="1">
        <w:bookmarkStart w:id="4" w:name="_Hlk206447449"/>
        <w:r w:rsidR="00FC07FC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</w:t>
        </w:r>
        <w:bookmarkEnd w:id="4"/>
        <w:r w:rsidR="00FC07FC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natgjb</w:t>
        </w:r>
      </w:hyperlink>
      <w:r w:rsidR="00FC07FC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5A8326A9" w14:textId="273EC156" w:rsidR="00585BE8" w:rsidRPr="003F0995" w:rsidRDefault="00585BE8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Kurbak</w:t>
      </w:r>
      <w:proofErr w:type="spellEnd"/>
      <w:r w:rsidR="00FD66DE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M.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G. </w:t>
      </w:r>
      <w:r w:rsidR="00FD66DE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FD66DE" w:rsidRPr="003F0995">
        <w:rPr>
          <w:rFonts w:ascii="Times New Roman" w:hAnsi="Times New Roman"/>
          <w:color w:val="auto"/>
          <w:sz w:val="28"/>
          <w:szCs w:val="22"/>
          <w:lang w:val="en-US"/>
        </w:rPr>
        <w:t>2012</w:t>
      </w:r>
      <w:r w:rsidR="00FD66DE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655394" w:rsidRPr="00655394">
        <w:rPr>
          <w:rFonts w:ascii="Times New Roman" w:hAnsi="Times New Roman"/>
          <w:color w:val="auto"/>
          <w:sz w:val="28"/>
          <w:szCs w:val="22"/>
          <w:lang w:val="en-US"/>
        </w:rPr>
        <w:t>Reduction of the non-operating wells stock</w:t>
      </w:r>
      <w:r w:rsidR="00655394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="00655394"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FD66DE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Oil and gas business</w:t>
      </w:r>
      <w:r w:rsidR="00FD66DE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E77307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1</w:t>
      </w:r>
      <w:r w:rsidR="00E77307">
        <w:rPr>
          <w:rFonts w:ascii="Times New Roman" w:hAnsi="Times New Roman"/>
          <w:color w:val="auto"/>
          <w:sz w:val="28"/>
          <w:szCs w:val="22"/>
          <w:lang w:val="en-US"/>
        </w:rPr>
        <w:t>), pp. 137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="00E77307">
        <w:rPr>
          <w:rFonts w:ascii="Times New Roman" w:hAnsi="Times New Roman"/>
          <w:color w:val="auto"/>
          <w:sz w:val="28"/>
          <w:szCs w:val="22"/>
          <w:lang w:val="en-US"/>
        </w:rPr>
        <w:t>149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28" w:history="1">
        <w:r w:rsidR="00E77307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https://elibrary.ru/rleudt</w:t>
        </w:r>
      </w:hyperlink>
      <w:r w:rsidR="00E77307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490068B0" w14:textId="2D8BDAE8" w:rsidR="00585BE8" w:rsidRPr="003F0995" w:rsidRDefault="00452B8A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Antoshkina</w:t>
      </w:r>
      <w:proofErr w:type="spellEnd"/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A.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V.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 xml:space="preserve">, </w:t>
      </w:r>
      <w:r w:rsidR="001E2084" w:rsidRPr="003F0995">
        <w:rPr>
          <w:rFonts w:ascii="Times New Roman" w:hAnsi="Times New Roman"/>
          <w:color w:val="auto"/>
          <w:sz w:val="28"/>
          <w:szCs w:val="22"/>
          <w:lang w:val="en-US"/>
        </w:rPr>
        <w:t>Romasyuk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="001E2084"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E. O. 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1E2084" w:rsidRPr="003F0995">
        <w:rPr>
          <w:rFonts w:ascii="Times New Roman" w:hAnsi="Times New Roman"/>
          <w:color w:val="auto"/>
          <w:sz w:val="28"/>
          <w:szCs w:val="22"/>
          <w:lang w:val="en-US"/>
        </w:rPr>
        <w:t>2020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Management of the well fund of an oil field as a factor in reducing the cost of production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1E2084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Actual issues of economic </w:t>
      </w:r>
      <w:proofErr w:type="gramStart"/>
      <w:r w:rsidRPr="001E2084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sciences :</w:t>
      </w:r>
      <w:proofErr w:type="gramEnd"/>
      <w:r w:rsidRPr="001E2084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 Materials of the III International scientific and practical conference, Krasnodar, May 30, 2020.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Krasnodar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 xml:space="preserve">, Publ.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Federal State Budgetary Institution </w:t>
      </w:r>
      <w:r w:rsidR="00B61215">
        <w:rPr>
          <w:rFonts w:ascii="Times New Roman" w:hAnsi="Times New Roman"/>
          <w:color w:val="auto"/>
          <w:sz w:val="28"/>
          <w:szCs w:val="22"/>
          <w:lang w:val="en-US"/>
        </w:rPr>
        <w:t>«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Russian Energy Agency</w:t>
      </w:r>
      <w:r w:rsidR="00B61215">
        <w:rPr>
          <w:rFonts w:ascii="Times New Roman" w:hAnsi="Times New Roman"/>
          <w:color w:val="auto"/>
          <w:sz w:val="28"/>
          <w:szCs w:val="22"/>
          <w:lang w:val="en-US"/>
        </w:rPr>
        <w:t>»</w:t>
      </w:r>
      <w:r w:rsidR="001E2084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pp. 261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265. </w:t>
      </w:r>
      <w:hyperlink r:id="rId29" w:history="1">
        <w:bookmarkStart w:id="5" w:name="_Hlk206447794"/>
        <w:r w:rsidR="001E2084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</w:t>
        </w:r>
        <w:bookmarkEnd w:id="5"/>
        <w:r w:rsidR="001E2084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vbagux</w:t>
        </w:r>
      </w:hyperlink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2C2A122C" w14:textId="6959C7E0" w:rsidR="00452B8A" w:rsidRPr="003F0995" w:rsidRDefault="009D4CBF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Osinovskaya</w:t>
      </w:r>
      <w:proofErr w:type="spellEnd"/>
      <w:r w:rsidR="003352A2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I.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V. </w:t>
      </w:r>
      <w:r w:rsidR="003352A2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3352A2" w:rsidRPr="003F0995">
        <w:rPr>
          <w:rFonts w:ascii="Times New Roman" w:hAnsi="Times New Roman"/>
          <w:color w:val="auto"/>
          <w:sz w:val="28"/>
          <w:szCs w:val="22"/>
          <w:lang w:val="en-US"/>
        </w:rPr>
        <w:t>2015</w:t>
      </w:r>
      <w:r w:rsidR="003352A2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354C22" w:rsidRPr="00354C22">
        <w:rPr>
          <w:rFonts w:ascii="Times New Roman" w:hAnsi="Times New Roman"/>
          <w:color w:val="auto"/>
          <w:sz w:val="28"/>
          <w:szCs w:val="22"/>
          <w:lang w:val="en-US"/>
        </w:rPr>
        <w:t>Improvement of well stock management efficiency</w:t>
      </w:r>
      <w:r w:rsidR="00354C22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="00354C22"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9160FF" w:rsidRPr="009160FF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Theory and Practice of Social Development</w:t>
      </w:r>
      <w:r w:rsidR="003352A2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9160FF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8</w:t>
      </w:r>
      <w:r w:rsidR="009160FF">
        <w:rPr>
          <w:rFonts w:ascii="Times New Roman" w:hAnsi="Times New Roman"/>
          <w:color w:val="auto"/>
          <w:sz w:val="28"/>
          <w:szCs w:val="22"/>
          <w:lang w:val="en-US"/>
        </w:rPr>
        <w:t>), pp. 59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="009160FF">
        <w:rPr>
          <w:rFonts w:ascii="Times New Roman" w:hAnsi="Times New Roman"/>
          <w:color w:val="auto"/>
          <w:sz w:val="28"/>
          <w:szCs w:val="22"/>
          <w:lang w:val="en-US"/>
        </w:rPr>
        <w:t>61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30" w:history="1">
        <w:bookmarkStart w:id="6" w:name="_Hlk206448082"/>
        <w:r w:rsidR="009160FF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</w:t>
        </w:r>
        <w:bookmarkEnd w:id="6"/>
        <w:r w:rsidR="009160FF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twsgvd</w:t>
        </w:r>
      </w:hyperlink>
      <w:r w:rsidR="00354C22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711E2747" w14:textId="63BF7EA7" w:rsidR="009D4CBF" w:rsidRPr="003F0995" w:rsidRDefault="003F0F3E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Johnson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D. 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0B20B2" w:rsidRPr="003F0995">
        <w:rPr>
          <w:rFonts w:ascii="Times New Roman" w:hAnsi="Times New Roman"/>
          <w:color w:val="auto"/>
          <w:sz w:val="28"/>
          <w:szCs w:val="22"/>
          <w:lang w:val="en-US"/>
        </w:rPr>
        <w:t>2000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International oil business: tax systems and production sharing agreements / Translated from English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Moscow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0B20B2">
        <w:rPr>
          <w:rFonts w:ascii="Times New Roman" w:hAnsi="Times New Roman"/>
          <w:color w:val="auto"/>
          <w:sz w:val="28"/>
          <w:szCs w:val="22"/>
          <w:lang w:val="en-US"/>
        </w:rPr>
        <w:t xml:space="preserve">Publ.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Olymp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-Business CJSC, 352 p.</w:t>
      </w:r>
    </w:p>
    <w:p w14:paraId="405E1DAA" w14:textId="3455D529" w:rsidR="0038301A" w:rsidRPr="003F0995" w:rsidRDefault="0038301A" w:rsidP="00CC25ED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Safonova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T.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Y. 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>(</w:t>
      </w:r>
      <w:r w:rsidR="00C022A0" w:rsidRPr="003F0995">
        <w:rPr>
          <w:rFonts w:ascii="Times New Roman" w:hAnsi="Times New Roman"/>
          <w:color w:val="auto"/>
          <w:sz w:val="28"/>
          <w:szCs w:val="22"/>
          <w:lang w:val="en-US"/>
        </w:rPr>
        <w:t>2020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 xml:space="preserve">) </w:t>
      </w:r>
      <w:r w:rsidR="0037591E" w:rsidRPr="0037591E">
        <w:rPr>
          <w:rFonts w:ascii="Times New Roman" w:hAnsi="Times New Roman"/>
          <w:color w:val="auto"/>
          <w:sz w:val="28"/>
          <w:szCs w:val="22"/>
          <w:lang w:val="en-US"/>
        </w:rPr>
        <w:t>Evolution of taxation in the oil and gas industry</w:t>
      </w:r>
      <w:r w:rsidR="0037591E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="0037591E"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E9384A" w:rsidRPr="00E9384A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Journal of Economics, Entrepreneurship and Law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10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 xml:space="preserve"> (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11</w:t>
      </w:r>
      <w:r w:rsidR="00C022A0">
        <w:rPr>
          <w:rFonts w:ascii="Times New Roman" w:hAnsi="Times New Roman"/>
          <w:color w:val="auto"/>
          <w:sz w:val="28"/>
          <w:szCs w:val="22"/>
          <w:lang w:val="en-US"/>
        </w:rPr>
        <w:t>),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pp. 2757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2790. </w:t>
      </w:r>
      <w:hyperlink r:id="rId31" w:history="1">
        <w:r w:rsidR="00E9384A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https://doi.org/10.18334/epp.10.11.111163</w:t>
        </w:r>
      </w:hyperlink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="0037591E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hyperlink r:id="rId32" w:history="1">
        <w:r w:rsidR="00E9384A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https://elibrary.ru/tngwki</w:t>
        </w:r>
      </w:hyperlink>
      <w:r w:rsidR="0037591E">
        <w:rPr>
          <w:rFonts w:ascii="Times New Roman" w:hAnsi="Times New Roman"/>
          <w:color w:val="auto"/>
          <w:sz w:val="28"/>
          <w:szCs w:val="22"/>
          <w:lang w:val="en-US"/>
        </w:rPr>
        <w:t>.</w:t>
      </w:r>
    </w:p>
    <w:p w14:paraId="2BB0A9C8" w14:textId="79AE7F97" w:rsidR="0038301A" w:rsidRPr="003F0995" w:rsidRDefault="0038301A" w:rsidP="0013455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Tatar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M., Harati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J., Farokhi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S.,</w:t>
      </w:r>
      <w:r w:rsidR="00C90466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spellStart"/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Taghvaee</w:t>
      </w:r>
      <w:proofErr w:type="spellEnd"/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V.,</w:t>
      </w:r>
      <w:r w:rsidR="00C90466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Wilson</w:t>
      </w:r>
      <w:r w:rsidR="00B0423B" w:rsidRPr="00B0423B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F. A. </w:t>
      </w:r>
      <w:r w:rsidR="00C90466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(2024) 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Good governance and natural resource management in oil and gas resource-rich countries: A machine learning approach</w:t>
      </w:r>
      <w:r w:rsidR="00C90466" w:rsidRPr="00B1474A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B1474A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>Resources Policy</w:t>
      </w:r>
      <w:r w:rsidR="00C90466" w:rsidRPr="00B1474A">
        <w:rPr>
          <w:rFonts w:ascii="Times New Roman" w:hAnsi="Times New Roman"/>
          <w:i/>
          <w:iCs/>
          <w:color w:val="auto"/>
          <w:sz w:val="28"/>
          <w:szCs w:val="22"/>
          <w:lang w:val="en-US"/>
        </w:rPr>
        <w:t xml:space="preserve">, 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89</w:t>
      </w:r>
      <w:r w:rsidR="00B1474A">
        <w:rPr>
          <w:rFonts w:ascii="Times New Roman" w:hAnsi="Times New Roman"/>
          <w:color w:val="auto"/>
          <w:sz w:val="28"/>
          <w:szCs w:val="22"/>
          <w:lang w:val="en-US"/>
        </w:rPr>
        <w:t>,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bookmarkStart w:id="7" w:name="_Hlk206448221"/>
      <w:r w:rsidR="00B1474A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104583. </w:t>
      </w:r>
      <w:hyperlink r:id="rId33" w:history="1">
        <w:r w:rsidR="003617AA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https://doi.org/10.1016/j.resourpol.2023.104583</w:t>
        </w:r>
      </w:hyperlink>
      <w:r w:rsidR="00B1474A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. </w:t>
      </w:r>
      <w:hyperlink r:id="rId34" w:history="1">
        <w:r w:rsidR="003617AA" w:rsidRPr="006122D5">
          <w:rPr>
            <w:rStyle w:val="af2"/>
            <w:rFonts w:ascii="Times New Roman" w:hAnsi="Times New Roman"/>
            <w:sz w:val="28"/>
            <w:szCs w:val="22"/>
            <w:lang w:val="en-US"/>
          </w:rPr>
          <w:t>https://elibrary.ru/lfaxqf</w:t>
        </w:r>
      </w:hyperlink>
      <w:r w:rsidR="00B1474A" w:rsidRPr="00B1474A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bookmarkEnd w:id="7"/>
    </w:p>
    <w:sectPr w:rsidR="0038301A" w:rsidRPr="003F0995" w:rsidSect="00F72F05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C618" w14:textId="77777777" w:rsidR="00660EBF" w:rsidRDefault="00660EBF">
      <w:pPr>
        <w:spacing w:after="0" w:line="240" w:lineRule="auto"/>
      </w:pPr>
      <w:r>
        <w:separator/>
      </w:r>
    </w:p>
  </w:endnote>
  <w:endnote w:type="continuationSeparator" w:id="0">
    <w:p w14:paraId="1C3B8A5C" w14:textId="77777777" w:rsidR="00660EBF" w:rsidRDefault="0066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RobotoCondensed-Light">
    <w:panose1 w:val="00000000000000000000"/>
    <w:charset w:val="00"/>
    <w:family w:val="roman"/>
    <w:notTrueType/>
    <w:pitch w:val="default"/>
  </w:font>
  <w:font w:name="RobotoCondensed-LightItali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7881" w14:textId="77777777" w:rsidR="00660EBF" w:rsidRDefault="00660EBF">
      <w:pPr>
        <w:spacing w:after="0" w:line="240" w:lineRule="auto"/>
      </w:pPr>
      <w:r>
        <w:separator/>
      </w:r>
    </w:p>
  </w:footnote>
  <w:footnote w:type="continuationSeparator" w:id="0">
    <w:p w14:paraId="605F74B8" w14:textId="77777777" w:rsidR="00660EBF" w:rsidRDefault="0066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6A27"/>
    <w:multiLevelType w:val="hybridMultilevel"/>
    <w:tmpl w:val="2D14A4FC"/>
    <w:lvl w:ilvl="0" w:tplc="0976728C">
      <w:start w:val="1"/>
      <w:numFmt w:val="decimal"/>
      <w:lvlText w:val="%1."/>
      <w:lvlJc w:val="left"/>
      <w:pPr>
        <w:ind w:left="1080" w:hanging="360"/>
      </w:pPr>
      <w:rPr>
        <w:color w:val="000000"/>
        <w:u w:val="none"/>
      </w:rPr>
    </w:lvl>
    <w:lvl w:ilvl="1" w:tplc="06DA2768">
      <w:start w:val="1"/>
      <w:numFmt w:val="lowerLetter"/>
      <w:lvlText w:val="%2."/>
      <w:lvlJc w:val="left"/>
      <w:pPr>
        <w:ind w:left="1800" w:hanging="360"/>
      </w:pPr>
    </w:lvl>
    <w:lvl w:ilvl="2" w:tplc="362E1074">
      <w:start w:val="1"/>
      <w:numFmt w:val="lowerRoman"/>
      <w:lvlText w:val="%3."/>
      <w:lvlJc w:val="right"/>
      <w:pPr>
        <w:ind w:left="2520" w:hanging="180"/>
      </w:pPr>
    </w:lvl>
    <w:lvl w:ilvl="3" w:tplc="7200040C">
      <w:start w:val="1"/>
      <w:numFmt w:val="decimal"/>
      <w:lvlText w:val="%4."/>
      <w:lvlJc w:val="left"/>
      <w:pPr>
        <w:ind w:left="3240" w:hanging="360"/>
      </w:pPr>
    </w:lvl>
    <w:lvl w:ilvl="4" w:tplc="B762C9BE">
      <w:start w:val="1"/>
      <w:numFmt w:val="lowerLetter"/>
      <w:lvlText w:val="%5."/>
      <w:lvlJc w:val="left"/>
      <w:pPr>
        <w:ind w:left="3960" w:hanging="360"/>
      </w:pPr>
    </w:lvl>
    <w:lvl w:ilvl="5" w:tplc="1266187E">
      <w:start w:val="1"/>
      <w:numFmt w:val="lowerRoman"/>
      <w:lvlText w:val="%6."/>
      <w:lvlJc w:val="right"/>
      <w:pPr>
        <w:ind w:left="4680" w:hanging="180"/>
      </w:pPr>
    </w:lvl>
    <w:lvl w:ilvl="6" w:tplc="20FEF296">
      <w:start w:val="1"/>
      <w:numFmt w:val="decimal"/>
      <w:lvlText w:val="%7."/>
      <w:lvlJc w:val="left"/>
      <w:pPr>
        <w:ind w:left="5400" w:hanging="360"/>
      </w:pPr>
    </w:lvl>
    <w:lvl w:ilvl="7" w:tplc="0A1E86D2">
      <w:start w:val="1"/>
      <w:numFmt w:val="lowerLetter"/>
      <w:lvlText w:val="%8."/>
      <w:lvlJc w:val="left"/>
      <w:pPr>
        <w:ind w:left="6120" w:hanging="360"/>
      </w:pPr>
    </w:lvl>
    <w:lvl w:ilvl="8" w:tplc="9BFA64A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106AC"/>
    <w:multiLevelType w:val="hybridMultilevel"/>
    <w:tmpl w:val="5EF2F3B4"/>
    <w:lvl w:ilvl="0" w:tplc="05C24218">
      <w:start w:val="1"/>
      <w:numFmt w:val="decimal"/>
      <w:lvlText w:val="%1."/>
      <w:lvlJc w:val="left"/>
      <w:pPr>
        <w:ind w:left="720" w:hanging="360"/>
      </w:pPr>
    </w:lvl>
    <w:lvl w:ilvl="1" w:tplc="1772C004">
      <w:start w:val="1"/>
      <w:numFmt w:val="lowerLetter"/>
      <w:lvlText w:val="%2."/>
      <w:lvlJc w:val="left"/>
      <w:pPr>
        <w:ind w:left="1440" w:hanging="360"/>
      </w:pPr>
    </w:lvl>
    <w:lvl w:ilvl="2" w:tplc="CFC68002">
      <w:start w:val="1"/>
      <w:numFmt w:val="lowerRoman"/>
      <w:lvlText w:val="%3."/>
      <w:lvlJc w:val="right"/>
      <w:pPr>
        <w:ind w:left="2160" w:hanging="180"/>
      </w:pPr>
    </w:lvl>
    <w:lvl w:ilvl="3" w:tplc="2B188328">
      <w:start w:val="1"/>
      <w:numFmt w:val="decimal"/>
      <w:lvlText w:val="%4."/>
      <w:lvlJc w:val="left"/>
      <w:pPr>
        <w:ind w:left="2880" w:hanging="360"/>
      </w:pPr>
    </w:lvl>
    <w:lvl w:ilvl="4" w:tplc="20408B5A">
      <w:start w:val="1"/>
      <w:numFmt w:val="lowerLetter"/>
      <w:lvlText w:val="%5."/>
      <w:lvlJc w:val="left"/>
      <w:pPr>
        <w:ind w:left="3600" w:hanging="360"/>
      </w:pPr>
    </w:lvl>
    <w:lvl w:ilvl="5" w:tplc="8C8669E4">
      <w:start w:val="1"/>
      <w:numFmt w:val="lowerRoman"/>
      <w:lvlText w:val="%6."/>
      <w:lvlJc w:val="right"/>
      <w:pPr>
        <w:ind w:left="4320" w:hanging="180"/>
      </w:pPr>
    </w:lvl>
    <w:lvl w:ilvl="6" w:tplc="EEFCFBA2">
      <w:start w:val="1"/>
      <w:numFmt w:val="decimal"/>
      <w:lvlText w:val="%7."/>
      <w:lvlJc w:val="left"/>
      <w:pPr>
        <w:ind w:left="5040" w:hanging="360"/>
      </w:pPr>
    </w:lvl>
    <w:lvl w:ilvl="7" w:tplc="F90833F6">
      <w:start w:val="1"/>
      <w:numFmt w:val="lowerLetter"/>
      <w:lvlText w:val="%8."/>
      <w:lvlJc w:val="left"/>
      <w:pPr>
        <w:ind w:left="5760" w:hanging="360"/>
      </w:pPr>
    </w:lvl>
    <w:lvl w:ilvl="8" w:tplc="C1929A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7A2F"/>
    <w:multiLevelType w:val="hybridMultilevel"/>
    <w:tmpl w:val="5764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17216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85C38"/>
    <w:multiLevelType w:val="multilevel"/>
    <w:tmpl w:val="52BE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D264D"/>
    <w:multiLevelType w:val="hybridMultilevel"/>
    <w:tmpl w:val="5EF2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9941">
    <w:abstractNumId w:val="1"/>
  </w:num>
  <w:num w:numId="2" w16cid:durableId="58556077">
    <w:abstractNumId w:val="0"/>
  </w:num>
  <w:num w:numId="3" w16cid:durableId="316612954">
    <w:abstractNumId w:val="3"/>
  </w:num>
  <w:num w:numId="4" w16cid:durableId="1784569248">
    <w:abstractNumId w:val="5"/>
  </w:num>
  <w:num w:numId="5" w16cid:durableId="266929168">
    <w:abstractNumId w:val="2"/>
  </w:num>
  <w:num w:numId="6" w16cid:durableId="59644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EC"/>
    <w:rsid w:val="00001DD1"/>
    <w:rsid w:val="00006FE6"/>
    <w:rsid w:val="000112DB"/>
    <w:rsid w:val="0001172C"/>
    <w:rsid w:val="00011EFB"/>
    <w:rsid w:val="00017EAE"/>
    <w:rsid w:val="000215BD"/>
    <w:rsid w:val="00021A8F"/>
    <w:rsid w:val="000220CB"/>
    <w:rsid w:val="00022446"/>
    <w:rsid w:val="00025F0C"/>
    <w:rsid w:val="0002694D"/>
    <w:rsid w:val="00030D2A"/>
    <w:rsid w:val="00041226"/>
    <w:rsid w:val="00047A1A"/>
    <w:rsid w:val="000515EE"/>
    <w:rsid w:val="0005273E"/>
    <w:rsid w:val="00053961"/>
    <w:rsid w:val="00055639"/>
    <w:rsid w:val="00055A00"/>
    <w:rsid w:val="00061540"/>
    <w:rsid w:val="00061D1F"/>
    <w:rsid w:val="00062393"/>
    <w:rsid w:val="0006282B"/>
    <w:rsid w:val="00063159"/>
    <w:rsid w:val="000655DA"/>
    <w:rsid w:val="000668A3"/>
    <w:rsid w:val="000670FE"/>
    <w:rsid w:val="00067314"/>
    <w:rsid w:val="00067355"/>
    <w:rsid w:val="00067672"/>
    <w:rsid w:val="000709EA"/>
    <w:rsid w:val="00071B65"/>
    <w:rsid w:val="00071C85"/>
    <w:rsid w:val="00075BCB"/>
    <w:rsid w:val="000773CA"/>
    <w:rsid w:val="0009030C"/>
    <w:rsid w:val="00096359"/>
    <w:rsid w:val="00096F16"/>
    <w:rsid w:val="00097658"/>
    <w:rsid w:val="000A01F8"/>
    <w:rsid w:val="000A3F37"/>
    <w:rsid w:val="000A4289"/>
    <w:rsid w:val="000A56FA"/>
    <w:rsid w:val="000B0028"/>
    <w:rsid w:val="000B20B2"/>
    <w:rsid w:val="000B3045"/>
    <w:rsid w:val="000B3103"/>
    <w:rsid w:val="000B7BAC"/>
    <w:rsid w:val="000C0BEB"/>
    <w:rsid w:val="000C17F2"/>
    <w:rsid w:val="000C1A8A"/>
    <w:rsid w:val="000C42A6"/>
    <w:rsid w:val="000C5AE6"/>
    <w:rsid w:val="000C666B"/>
    <w:rsid w:val="000D1A42"/>
    <w:rsid w:val="000D1CCB"/>
    <w:rsid w:val="000D72A5"/>
    <w:rsid w:val="000E215F"/>
    <w:rsid w:val="000E2EA3"/>
    <w:rsid w:val="000E35CC"/>
    <w:rsid w:val="000E584D"/>
    <w:rsid w:val="000E6687"/>
    <w:rsid w:val="000E7A4B"/>
    <w:rsid w:val="000F49CE"/>
    <w:rsid w:val="000F4F05"/>
    <w:rsid w:val="000F65AE"/>
    <w:rsid w:val="00100769"/>
    <w:rsid w:val="00104A67"/>
    <w:rsid w:val="001063EA"/>
    <w:rsid w:val="001067C2"/>
    <w:rsid w:val="00113C37"/>
    <w:rsid w:val="001165E1"/>
    <w:rsid w:val="00121C0F"/>
    <w:rsid w:val="00123AC3"/>
    <w:rsid w:val="001250DD"/>
    <w:rsid w:val="00126C80"/>
    <w:rsid w:val="00126F42"/>
    <w:rsid w:val="001276E7"/>
    <w:rsid w:val="00130418"/>
    <w:rsid w:val="00130BA9"/>
    <w:rsid w:val="001310DA"/>
    <w:rsid w:val="00133A90"/>
    <w:rsid w:val="00134556"/>
    <w:rsid w:val="001363B0"/>
    <w:rsid w:val="00137D90"/>
    <w:rsid w:val="001409E1"/>
    <w:rsid w:val="0014345C"/>
    <w:rsid w:val="00144EC6"/>
    <w:rsid w:val="00145859"/>
    <w:rsid w:val="0015161E"/>
    <w:rsid w:val="00151AEC"/>
    <w:rsid w:val="0015237A"/>
    <w:rsid w:val="0015243B"/>
    <w:rsid w:val="00152F61"/>
    <w:rsid w:val="00153F11"/>
    <w:rsid w:val="00170B62"/>
    <w:rsid w:val="00173399"/>
    <w:rsid w:val="00173E60"/>
    <w:rsid w:val="00175B31"/>
    <w:rsid w:val="001777F2"/>
    <w:rsid w:val="001801A2"/>
    <w:rsid w:val="00181DE0"/>
    <w:rsid w:val="001869A6"/>
    <w:rsid w:val="00191396"/>
    <w:rsid w:val="00192826"/>
    <w:rsid w:val="00194508"/>
    <w:rsid w:val="001945AD"/>
    <w:rsid w:val="001960EB"/>
    <w:rsid w:val="001A04C3"/>
    <w:rsid w:val="001A34E5"/>
    <w:rsid w:val="001A4292"/>
    <w:rsid w:val="001A5B2A"/>
    <w:rsid w:val="001A5DFF"/>
    <w:rsid w:val="001A7C1D"/>
    <w:rsid w:val="001B0C7A"/>
    <w:rsid w:val="001B0D25"/>
    <w:rsid w:val="001B0D78"/>
    <w:rsid w:val="001B0DE6"/>
    <w:rsid w:val="001B1D5F"/>
    <w:rsid w:val="001B274D"/>
    <w:rsid w:val="001B2B44"/>
    <w:rsid w:val="001B528D"/>
    <w:rsid w:val="001B64D5"/>
    <w:rsid w:val="001C098F"/>
    <w:rsid w:val="001C1371"/>
    <w:rsid w:val="001C6E86"/>
    <w:rsid w:val="001D1026"/>
    <w:rsid w:val="001D1CA5"/>
    <w:rsid w:val="001D4655"/>
    <w:rsid w:val="001D51A5"/>
    <w:rsid w:val="001D6452"/>
    <w:rsid w:val="001D6D37"/>
    <w:rsid w:val="001E0CAC"/>
    <w:rsid w:val="001E0E91"/>
    <w:rsid w:val="001E18C5"/>
    <w:rsid w:val="001E2084"/>
    <w:rsid w:val="001E2AD8"/>
    <w:rsid w:val="001E5A18"/>
    <w:rsid w:val="001F1D07"/>
    <w:rsid w:val="001F4002"/>
    <w:rsid w:val="001F5A66"/>
    <w:rsid w:val="00202998"/>
    <w:rsid w:val="00204980"/>
    <w:rsid w:val="00206836"/>
    <w:rsid w:val="00211E4E"/>
    <w:rsid w:val="00212EC0"/>
    <w:rsid w:val="00214421"/>
    <w:rsid w:val="002226D1"/>
    <w:rsid w:val="00225E0B"/>
    <w:rsid w:val="00231473"/>
    <w:rsid w:val="00232289"/>
    <w:rsid w:val="002350FA"/>
    <w:rsid w:val="00242D9F"/>
    <w:rsid w:val="00243355"/>
    <w:rsid w:val="002448FD"/>
    <w:rsid w:val="00251F2E"/>
    <w:rsid w:val="00254266"/>
    <w:rsid w:val="00254844"/>
    <w:rsid w:val="0025604E"/>
    <w:rsid w:val="00257F0F"/>
    <w:rsid w:val="00261A91"/>
    <w:rsid w:val="00261FDD"/>
    <w:rsid w:val="00262411"/>
    <w:rsid w:val="00262A1A"/>
    <w:rsid w:val="002706CF"/>
    <w:rsid w:val="00272D65"/>
    <w:rsid w:val="00272F1C"/>
    <w:rsid w:val="00274A54"/>
    <w:rsid w:val="00282057"/>
    <w:rsid w:val="00282A16"/>
    <w:rsid w:val="0028383C"/>
    <w:rsid w:val="0028444F"/>
    <w:rsid w:val="00284AEF"/>
    <w:rsid w:val="00284D62"/>
    <w:rsid w:val="00286385"/>
    <w:rsid w:val="00287107"/>
    <w:rsid w:val="002902D4"/>
    <w:rsid w:val="002963DB"/>
    <w:rsid w:val="00297773"/>
    <w:rsid w:val="002A0F7C"/>
    <w:rsid w:val="002A4606"/>
    <w:rsid w:val="002A6350"/>
    <w:rsid w:val="002A791D"/>
    <w:rsid w:val="002B059D"/>
    <w:rsid w:val="002B55F7"/>
    <w:rsid w:val="002B6FE5"/>
    <w:rsid w:val="002B7C99"/>
    <w:rsid w:val="002C0846"/>
    <w:rsid w:val="002C21BE"/>
    <w:rsid w:val="002C408D"/>
    <w:rsid w:val="002C58AB"/>
    <w:rsid w:val="002C5CA0"/>
    <w:rsid w:val="002C6800"/>
    <w:rsid w:val="002C73E0"/>
    <w:rsid w:val="002D10F0"/>
    <w:rsid w:val="002D4E69"/>
    <w:rsid w:val="002D7669"/>
    <w:rsid w:val="002E1BAC"/>
    <w:rsid w:val="002E7ECB"/>
    <w:rsid w:val="002F0044"/>
    <w:rsid w:val="002F1885"/>
    <w:rsid w:val="002F31F4"/>
    <w:rsid w:val="002F5BA3"/>
    <w:rsid w:val="002F7B45"/>
    <w:rsid w:val="00300E9B"/>
    <w:rsid w:val="00301E05"/>
    <w:rsid w:val="003056F0"/>
    <w:rsid w:val="00307463"/>
    <w:rsid w:val="00307A4E"/>
    <w:rsid w:val="00311916"/>
    <w:rsid w:val="00317D7C"/>
    <w:rsid w:val="00320F7C"/>
    <w:rsid w:val="00321BD7"/>
    <w:rsid w:val="00321D5C"/>
    <w:rsid w:val="003237FB"/>
    <w:rsid w:val="00323E27"/>
    <w:rsid w:val="00330250"/>
    <w:rsid w:val="003309F7"/>
    <w:rsid w:val="00330CEB"/>
    <w:rsid w:val="00335175"/>
    <w:rsid w:val="003352A2"/>
    <w:rsid w:val="003354E0"/>
    <w:rsid w:val="00337640"/>
    <w:rsid w:val="00340723"/>
    <w:rsid w:val="00341C66"/>
    <w:rsid w:val="00344D05"/>
    <w:rsid w:val="0034712B"/>
    <w:rsid w:val="003504DF"/>
    <w:rsid w:val="00350F89"/>
    <w:rsid w:val="00351D81"/>
    <w:rsid w:val="00353F16"/>
    <w:rsid w:val="00354072"/>
    <w:rsid w:val="00354606"/>
    <w:rsid w:val="00354C22"/>
    <w:rsid w:val="00360B8B"/>
    <w:rsid w:val="003617AA"/>
    <w:rsid w:val="00361895"/>
    <w:rsid w:val="003627F7"/>
    <w:rsid w:val="0036295B"/>
    <w:rsid w:val="0036365C"/>
    <w:rsid w:val="00364BF3"/>
    <w:rsid w:val="003666E6"/>
    <w:rsid w:val="00370C2E"/>
    <w:rsid w:val="0037591E"/>
    <w:rsid w:val="003769DD"/>
    <w:rsid w:val="00380617"/>
    <w:rsid w:val="003816F1"/>
    <w:rsid w:val="0038301A"/>
    <w:rsid w:val="00384B00"/>
    <w:rsid w:val="0038654E"/>
    <w:rsid w:val="003867A6"/>
    <w:rsid w:val="00395301"/>
    <w:rsid w:val="00395C87"/>
    <w:rsid w:val="00396D7D"/>
    <w:rsid w:val="003A36A4"/>
    <w:rsid w:val="003A4672"/>
    <w:rsid w:val="003A4986"/>
    <w:rsid w:val="003A6052"/>
    <w:rsid w:val="003A664C"/>
    <w:rsid w:val="003A7CCC"/>
    <w:rsid w:val="003B00F7"/>
    <w:rsid w:val="003B3504"/>
    <w:rsid w:val="003B42B9"/>
    <w:rsid w:val="003B5475"/>
    <w:rsid w:val="003C0249"/>
    <w:rsid w:val="003C0F0F"/>
    <w:rsid w:val="003C193A"/>
    <w:rsid w:val="003C1C9E"/>
    <w:rsid w:val="003C270A"/>
    <w:rsid w:val="003C3739"/>
    <w:rsid w:val="003C676D"/>
    <w:rsid w:val="003C6C28"/>
    <w:rsid w:val="003C75DC"/>
    <w:rsid w:val="003C7D9A"/>
    <w:rsid w:val="003D0415"/>
    <w:rsid w:val="003D09C8"/>
    <w:rsid w:val="003D0A32"/>
    <w:rsid w:val="003D1338"/>
    <w:rsid w:val="003D3CD6"/>
    <w:rsid w:val="003D4140"/>
    <w:rsid w:val="003D6305"/>
    <w:rsid w:val="003E096F"/>
    <w:rsid w:val="003E617B"/>
    <w:rsid w:val="003E67D4"/>
    <w:rsid w:val="003F0995"/>
    <w:rsid w:val="003F0E55"/>
    <w:rsid w:val="003F0F3E"/>
    <w:rsid w:val="003F1D35"/>
    <w:rsid w:val="003F25A4"/>
    <w:rsid w:val="003F4EED"/>
    <w:rsid w:val="003F5D83"/>
    <w:rsid w:val="003F6C4F"/>
    <w:rsid w:val="0040146E"/>
    <w:rsid w:val="00403830"/>
    <w:rsid w:val="00403B8A"/>
    <w:rsid w:val="004135F2"/>
    <w:rsid w:val="004158F4"/>
    <w:rsid w:val="0041778F"/>
    <w:rsid w:val="00420609"/>
    <w:rsid w:val="00421997"/>
    <w:rsid w:val="00424CA3"/>
    <w:rsid w:val="004320AE"/>
    <w:rsid w:val="00433982"/>
    <w:rsid w:val="00437089"/>
    <w:rsid w:val="00437C9F"/>
    <w:rsid w:val="00437F05"/>
    <w:rsid w:val="00443954"/>
    <w:rsid w:val="00452B8A"/>
    <w:rsid w:val="00457DB0"/>
    <w:rsid w:val="00460E7F"/>
    <w:rsid w:val="00462183"/>
    <w:rsid w:val="0046267E"/>
    <w:rsid w:val="00464170"/>
    <w:rsid w:val="00466F93"/>
    <w:rsid w:val="004673CB"/>
    <w:rsid w:val="004673D7"/>
    <w:rsid w:val="004713FE"/>
    <w:rsid w:val="004719AB"/>
    <w:rsid w:val="00471AD7"/>
    <w:rsid w:val="004729AF"/>
    <w:rsid w:val="0047327E"/>
    <w:rsid w:val="0047679D"/>
    <w:rsid w:val="00482DA7"/>
    <w:rsid w:val="004865CB"/>
    <w:rsid w:val="00493132"/>
    <w:rsid w:val="00495241"/>
    <w:rsid w:val="00496786"/>
    <w:rsid w:val="0049764F"/>
    <w:rsid w:val="004A0B74"/>
    <w:rsid w:val="004A0D34"/>
    <w:rsid w:val="004A1B72"/>
    <w:rsid w:val="004A433E"/>
    <w:rsid w:val="004A707A"/>
    <w:rsid w:val="004A7AE1"/>
    <w:rsid w:val="004B08EE"/>
    <w:rsid w:val="004B0C62"/>
    <w:rsid w:val="004B1695"/>
    <w:rsid w:val="004B6F23"/>
    <w:rsid w:val="004C2227"/>
    <w:rsid w:val="004C64DC"/>
    <w:rsid w:val="004D09FB"/>
    <w:rsid w:val="004D4648"/>
    <w:rsid w:val="004D4DEF"/>
    <w:rsid w:val="004D699B"/>
    <w:rsid w:val="004D7310"/>
    <w:rsid w:val="004D787E"/>
    <w:rsid w:val="004E0D98"/>
    <w:rsid w:val="004E0DE7"/>
    <w:rsid w:val="004E3FE7"/>
    <w:rsid w:val="004E4CB8"/>
    <w:rsid w:val="004E62B0"/>
    <w:rsid w:val="004F06C4"/>
    <w:rsid w:val="004F3824"/>
    <w:rsid w:val="004F39FC"/>
    <w:rsid w:val="004F4940"/>
    <w:rsid w:val="004F559B"/>
    <w:rsid w:val="004F5900"/>
    <w:rsid w:val="005003F6"/>
    <w:rsid w:val="005004B4"/>
    <w:rsid w:val="0050179D"/>
    <w:rsid w:val="005045BD"/>
    <w:rsid w:val="00505283"/>
    <w:rsid w:val="0050635D"/>
    <w:rsid w:val="00506617"/>
    <w:rsid w:val="00507F3C"/>
    <w:rsid w:val="00510313"/>
    <w:rsid w:val="00511BBA"/>
    <w:rsid w:val="00511CE3"/>
    <w:rsid w:val="005120F2"/>
    <w:rsid w:val="00522FD7"/>
    <w:rsid w:val="005238C5"/>
    <w:rsid w:val="0052502A"/>
    <w:rsid w:val="005306C4"/>
    <w:rsid w:val="00532214"/>
    <w:rsid w:val="005329F4"/>
    <w:rsid w:val="005330AB"/>
    <w:rsid w:val="005332CA"/>
    <w:rsid w:val="00536499"/>
    <w:rsid w:val="00546BF2"/>
    <w:rsid w:val="005475F5"/>
    <w:rsid w:val="00552768"/>
    <w:rsid w:val="00553D8C"/>
    <w:rsid w:val="00554050"/>
    <w:rsid w:val="00554EE9"/>
    <w:rsid w:val="00555AD0"/>
    <w:rsid w:val="00556827"/>
    <w:rsid w:val="005602BC"/>
    <w:rsid w:val="00562B81"/>
    <w:rsid w:val="005647AE"/>
    <w:rsid w:val="00565FEF"/>
    <w:rsid w:val="0056635E"/>
    <w:rsid w:val="00574B2D"/>
    <w:rsid w:val="00575CDD"/>
    <w:rsid w:val="00577065"/>
    <w:rsid w:val="0057748E"/>
    <w:rsid w:val="00577A2C"/>
    <w:rsid w:val="00580CE0"/>
    <w:rsid w:val="00580E12"/>
    <w:rsid w:val="005825AD"/>
    <w:rsid w:val="00582D2D"/>
    <w:rsid w:val="005841FF"/>
    <w:rsid w:val="00585BE8"/>
    <w:rsid w:val="00587484"/>
    <w:rsid w:val="0058784C"/>
    <w:rsid w:val="00590549"/>
    <w:rsid w:val="005917E9"/>
    <w:rsid w:val="00594144"/>
    <w:rsid w:val="00594808"/>
    <w:rsid w:val="005953FE"/>
    <w:rsid w:val="0059777F"/>
    <w:rsid w:val="005A020C"/>
    <w:rsid w:val="005A4C26"/>
    <w:rsid w:val="005A4E24"/>
    <w:rsid w:val="005A6059"/>
    <w:rsid w:val="005A6140"/>
    <w:rsid w:val="005B143E"/>
    <w:rsid w:val="005B2DB8"/>
    <w:rsid w:val="005B4ACA"/>
    <w:rsid w:val="005B77FE"/>
    <w:rsid w:val="005B7B1D"/>
    <w:rsid w:val="005C1298"/>
    <w:rsid w:val="005C221A"/>
    <w:rsid w:val="005C4BFD"/>
    <w:rsid w:val="005C55B8"/>
    <w:rsid w:val="005C69D5"/>
    <w:rsid w:val="005D0451"/>
    <w:rsid w:val="005D05C3"/>
    <w:rsid w:val="005D29E2"/>
    <w:rsid w:val="005D3260"/>
    <w:rsid w:val="005D4522"/>
    <w:rsid w:val="005D795F"/>
    <w:rsid w:val="005E2F09"/>
    <w:rsid w:val="005E2F6F"/>
    <w:rsid w:val="005E36AA"/>
    <w:rsid w:val="005F01FF"/>
    <w:rsid w:val="005F29F2"/>
    <w:rsid w:val="005F2E16"/>
    <w:rsid w:val="005F4478"/>
    <w:rsid w:val="005F4A93"/>
    <w:rsid w:val="005F5584"/>
    <w:rsid w:val="005F58C5"/>
    <w:rsid w:val="005F62B7"/>
    <w:rsid w:val="005F63B5"/>
    <w:rsid w:val="005F662E"/>
    <w:rsid w:val="005F6700"/>
    <w:rsid w:val="00600837"/>
    <w:rsid w:val="0060239E"/>
    <w:rsid w:val="00603E28"/>
    <w:rsid w:val="006050F1"/>
    <w:rsid w:val="00605C0B"/>
    <w:rsid w:val="006061F7"/>
    <w:rsid w:val="00615D98"/>
    <w:rsid w:val="00616935"/>
    <w:rsid w:val="00616D5D"/>
    <w:rsid w:val="00617449"/>
    <w:rsid w:val="00617626"/>
    <w:rsid w:val="00620FDC"/>
    <w:rsid w:val="0062256B"/>
    <w:rsid w:val="0062295F"/>
    <w:rsid w:val="00623729"/>
    <w:rsid w:val="006242F9"/>
    <w:rsid w:val="00624D64"/>
    <w:rsid w:val="00625781"/>
    <w:rsid w:val="006308AD"/>
    <w:rsid w:val="006315AE"/>
    <w:rsid w:val="006316B1"/>
    <w:rsid w:val="00631FFD"/>
    <w:rsid w:val="00632AE2"/>
    <w:rsid w:val="00637D75"/>
    <w:rsid w:val="00637EF4"/>
    <w:rsid w:val="00644210"/>
    <w:rsid w:val="0064478E"/>
    <w:rsid w:val="00650132"/>
    <w:rsid w:val="0065146B"/>
    <w:rsid w:val="006521D7"/>
    <w:rsid w:val="00652EF0"/>
    <w:rsid w:val="0065485C"/>
    <w:rsid w:val="0065490A"/>
    <w:rsid w:val="00655394"/>
    <w:rsid w:val="00660EBF"/>
    <w:rsid w:val="00661A4F"/>
    <w:rsid w:val="00662CFA"/>
    <w:rsid w:val="00663CBA"/>
    <w:rsid w:val="006669CF"/>
    <w:rsid w:val="00667E1C"/>
    <w:rsid w:val="0067066C"/>
    <w:rsid w:val="00671040"/>
    <w:rsid w:val="006713F7"/>
    <w:rsid w:val="00671C09"/>
    <w:rsid w:val="00672AC0"/>
    <w:rsid w:val="006774E1"/>
    <w:rsid w:val="006804B4"/>
    <w:rsid w:val="00682795"/>
    <w:rsid w:val="006844EE"/>
    <w:rsid w:val="0068638D"/>
    <w:rsid w:val="00691D8B"/>
    <w:rsid w:val="006A1A80"/>
    <w:rsid w:val="006A1DAC"/>
    <w:rsid w:val="006A319D"/>
    <w:rsid w:val="006A4ACD"/>
    <w:rsid w:val="006A4F09"/>
    <w:rsid w:val="006A5DC8"/>
    <w:rsid w:val="006B0A2E"/>
    <w:rsid w:val="006B0D5D"/>
    <w:rsid w:val="006B0D89"/>
    <w:rsid w:val="006B270C"/>
    <w:rsid w:val="006B60A3"/>
    <w:rsid w:val="006B6568"/>
    <w:rsid w:val="006B6A1A"/>
    <w:rsid w:val="006B6C5B"/>
    <w:rsid w:val="006C2110"/>
    <w:rsid w:val="006C4FAA"/>
    <w:rsid w:val="006C789A"/>
    <w:rsid w:val="006D05A6"/>
    <w:rsid w:val="006D0C5E"/>
    <w:rsid w:val="006D175B"/>
    <w:rsid w:val="006D2985"/>
    <w:rsid w:val="006D5D9A"/>
    <w:rsid w:val="006D6A18"/>
    <w:rsid w:val="006D6ACE"/>
    <w:rsid w:val="006E3AAE"/>
    <w:rsid w:val="006E4A8C"/>
    <w:rsid w:val="006E51FD"/>
    <w:rsid w:val="006E5AAC"/>
    <w:rsid w:val="006E6B2E"/>
    <w:rsid w:val="006F2AF7"/>
    <w:rsid w:val="006F3802"/>
    <w:rsid w:val="006F4D99"/>
    <w:rsid w:val="006F4FD1"/>
    <w:rsid w:val="006F5FDD"/>
    <w:rsid w:val="007004AF"/>
    <w:rsid w:val="00706827"/>
    <w:rsid w:val="00707FE9"/>
    <w:rsid w:val="00711AC0"/>
    <w:rsid w:val="00712435"/>
    <w:rsid w:val="0071496F"/>
    <w:rsid w:val="0072323C"/>
    <w:rsid w:val="00723268"/>
    <w:rsid w:val="0072329C"/>
    <w:rsid w:val="00723A89"/>
    <w:rsid w:val="00724FEA"/>
    <w:rsid w:val="00725652"/>
    <w:rsid w:val="00732A0E"/>
    <w:rsid w:val="00732A88"/>
    <w:rsid w:val="0073703F"/>
    <w:rsid w:val="00740702"/>
    <w:rsid w:val="0074074D"/>
    <w:rsid w:val="00742C88"/>
    <w:rsid w:val="00744575"/>
    <w:rsid w:val="0074666B"/>
    <w:rsid w:val="00750E11"/>
    <w:rsid w:val="00753281"/>
    <w:rsid w:val="00753E0E"/>
    <w:rsid w:val="007562A8"/>
    <w:rsid w:val="00760A7D"/>
    <w:rsid w:val="007615B3"/>
    <w:rsid w:val="007616F0"/>
    <w:rsid w:val="007623DF"/>
    <w:rsid w:val="007639AF"/>
    <w:rsid w:val="00763A55"/>
    <w:rsid w:val="00765B1E"/>
    <w:rsid w:val="00766EB0"/>
    <w:rsid w:val="00767AF7"/>
    <w:rsid w:val="00767B3B"/>
    <w:rsid w:val="00767EAA"/>
    <w:rsid w:val="00771ACC"/>
    <w:rsid w:val="007728C6"/>
    <w:rsid w:val="0077439B"/>
    <w:rsid w:val="00775E81"/>
    <w:rsid w:val="0078053B"/>
    <w:rsid w:val="007805D6"/>
    <w:rsid w:val="00781057"/>
    <w:rsid w:val="0078125D"/>
    <w:rsid w:val="007825EC"/>
    <w:rsid w:val="00782E1B"/>
    <w:rsid w:val="00785C90"/>
    <w:rsid w:val="00793CCE"/>
    <w:rsid w:val="00794775"/>
    <w:rsid w:val="007A00E1"/>
    <w:rsid w:val="007A0600"/>
    <w:rsid w:val="007A14B5"/>
    <w:rsid w:val="007A7DDB"/>
    <w:rsid w:val="007B16C7"/>
    <w:rsid w:val="007B2320"/>
    <w:rsid w:val="007B26DF"/>
    <w:rsid w:val="007B3B5B"/>
    <w:rsid w:val="007B5FA0"/>
    <w:rsid w:val="007C27CA"/>
    <w:rsid w:val="007C3211"/>
    <w:rsid w:val="007C3366"/>
    <w:rsid w:val="007C3B38"/>
    <w:rsid w:val="007C405A"/>
    <w:rsid w:val="007C44EE"/>
    <w:rsid w:val="007C48A9"/>
    <w:rsid w:val="007C57B3"/>
    <w:rsid w:val="007C66FB"/>
    <w:rsid w:val="007D0ADD"/>
    <w:rsid w:val="007D2651"/>
    <w:rsid w:val="007D3033"/>
    <w:rsid w:val="007D4B77"/>
    <w:rsid w:val="007D76CB"/>
    <w:rsid w:val="007D7B4F"/>
    <w:rsid w:val="007E3679"/>
    <w:rsid w:val="007E3748"/>
    <w:rsid w:val="007E5FEB"/>
    <w:rsid w:val="007F01E1"/>
    <w:rsid w:val="007F4D94"/>
    <w:rsid w:val="007F741D"/>
    <w:rsid w:val="00803A52"/>
    <w:rsid w:val="00803B29"/>
    <w:rsid w:val="00803CC9"/>
    <w:rsid w:val="00804260"/>
    <w:rsid w:val="00804FED"/>
    <w:rsid w:val="00807B95"/>
    <w:rsid w:val="00813D5E"/>
    <w:rsid w:val="00814602"/>
    <w:rsid w:val="00817A43"/>
    <w:rsid w:val="00823304"/>
    <w:rsid w:val="00823CD6"/>
    <w:rsid w:val="008248E7"/>
    <w:rsid w:val="008304E8"/>
    <w:rsid w:val="00831CCB"/>
    <w:rsid w:val="00832CF2"/>
    <w:rsid w:val="008356FC"/>
    <w:rsid w:val="00835F3C"/>
    <w:rsid w:val="00841709"/>
    <w:rsid w:val="008470F3"/>
    <w:rsid w:val="008471CD"/>
    <w:rsid w:val="0084733A"/>
    <w:rsid w:val="00847C91"/>
    <w:rsid w:val="00852236"/>
    <w:rsid w:val="008565D2"/>
    <w:rsid w:val="008623C4"/>
    <w:rsid w:val="008632A8"/>
    <w:rsid w:val="0086563F"/>
    <w:rsid w:val="00865A3B"/>
    <w:rsid w:val="00867F2B"/>
    <w:rsid w:val="00874BE9"/>
    <w:rsid w:val="00880D60"/>
    <w:rsid w:val="0088157E"/>
    <w:rsid w:val="00881DF3"/>
    <w:rsid w:val="00883CAA"/>
    <w:rsid w:val="00885357"/>
    <w:rsid w:val="008900D9"/>
    <w:rsid w:val="0089516E"/>
    <w:rsid w:val="00896C60"/>
    <w:rsid w:val="008A3A01"/>
    <w:rsid w:val="008A40A8"/>
    <w:rsid w:val="008A6FF2"/>
    <w:rsid w:val="008B1C1B"/>
    <w:rsid w:val="008B1CE1"/>
    <w:rsid w:val="008B2897"/>
    <w:rsid w:val="008B2911"/>
    <w:rsid w:val="008B500E"/>
    <w:rsid w:val="008B5738"/>
    <w:rsid w:val="008B744C"/>
    <w:rsid w:val="008B79BE"/>
    <w:rsid w:val="008C5556"/>
    <w:rsid w:val="008C64A2"/>
    <w:rsid w:val="008D05B8"/>
    <w:rsid w:val="008D26BB"/>
    <w:rsid w:val="008D36C1"/>
    <w:rsid w:val="008D62ED"/>
    <w:rsid w:val="008E1AC4"/>
    <w:rsid w:val="008E263C"/>
    <w:rsid w:val="008F00B1"/>
    <w:rsid w:val="008F0B9F"/>
    <w:rsid w:val="008F73B0"/>
    <w:rsid w:val="009022F0"/>
    <w:rsid w:val="00903321"/>
    <w:rsid w:val="00904502"/>
    <w:rsid w:val="00905FC1"/>
    <w:rsid w:val="00910967"/>
    <w:rsid w:val="00911A35"/>
    <w:rsid w:val="00911B7E"/>
    <w:rsid w:val="009132BD"/>
    <w:rsid w:val="00913BAD"/>
    <w:rsid w:val="009160FF"/>
    <w:rsid w:val="00917223"/>
    <w:rsid w:val="00920922"/>
    <w:rsid w:val="00920A8A"/>
    <w:rsid w:val="00921A72"/>
    <w:rsid w:val="00921DC5"/>
    <w:rsid w:val="00923780"/>
    <w:rsid w:val="00924057"/>
    <w:rsid w:val="00925311"/>
    <w:rsid w:val="00927351"/>
    <w:rsid w:val="0093006B"/>
    <w:rsid w:val="0093043B"/>
    <w:rsid w:val="0093103E"/>
    <w:rsid w:val="00931DF9"/>
    <w:rsid w:val="00932013"/>
    <w:rsid w:val="00941CF5"/>
    <w:rsid w:val="00942640"/>
    <w:rsid w:val="0094430E"/>
    <w:rsid w:val="009457C8"/>
    <w:rsid w:val="00946C92"/>
    <w:rsid w:val="00947ECA"/>
    <w:rsid w:val="009532FC"/>
    <w:rsid w:val="009560A9"/>
    <w:rsid w:val="009579CF"/>
    <w:rsid w:val="00957BEC"/>
    <w:rsid w:val="0096036E"/>
    <w:rsid w:val="009614D0"/>
    <w:rsid w:val="00964745"/>
    <w:rsid w:val="00967EF1"/>
    <w:rsid w:val="00972000"/>
    <w:rsid w:val="009728A6"/>
    <w:rsid w:val="009730D0"/>
    <w:rsid w:val="009730EC"/>
    <w:rsid w:val="00974A36"/>
    <w:rsid w:val="0098148F"/>
    <w:rsid w:val="009815AB"/>
    <w:rsid w:val="00984145"/>
    <w:rsid w:val="009900C8"/>
    <w:rsid w:val="009908B2"/>
    <w:rsid w:val="00990FEF"/>
    <w:rsid w:val="0099126A"/>
    <w:rsid w:val="0099233F"/>
    <w:rsid w:val="00992FD1"/>
    <w:rsid w:val="0099301F"/>
    <w:rsid w:val="00994BED"/>
    <w:rsid w:val="00994FDA"/>
    <w:rsid w:val="009951EE"/>
    <w:rsid w:val="009960E4"/>
    <w:rsid w:val="00996DBF"/>
    <w:rsid w:val="00996FE8"/>
    <w:rsid w:val="009A12F0"/>
    <w:rsid w:val="009A229F"/>
    <w:rsid w:val="009A5755"/>
    <w:rsid w:val="009B0C22"/>
    <w:rsid w:val="009B1036"/>
    <w:rsid w:val="009B10D9"/>
    <w:rsid w:val="009B1E41"/>
    <w:rsid w:val="009B1EA1"/>
    <w:rsid w:val="009B3695"/>
    <w:rsid w:val="009B3D49"/>
    <w:rsid w:val="009B723A"/>
    <w:rsid w:val="009C2468"/>
    <w:rsid w:val="009C331B"/>
    <w:rsid w:val="009C54C2"/>
    <w:rsid w:val="009C593F"/>
    <w:rsid w:val="009C6DFC"/>
    <w:rsid w:val="009C7685"/>
    <w:rsid w:val="009D008C"/>
    <w:rsid w:val="009D0E27"/>
    <w:rsid w:val="009D1C05"/>
    <w:rsid w:val="009D27B0"/>
    <w:rsid w:val="009D3426"/>
    <w:rsid w:val="009D4143"/>
    <w:rsid w:val="009D4CBF"/>
    <w:rsid w:val="009D54FB"/>
    <w:rsid w:val="009D77D7"/>
    <w:rsid w:val="009E3863"/>
    <w:rsid w:val="009E410A"/>
    <w:rsid w:val="009E62D3"/>
    <w:rsid w:val="009E6ABD"/>
    <w:rsid w:val="009E6FA6"/>
    <w:rsid w:val="009F0961"/>
    <w:rsid w:val="009F1D26"/>
    <w:rsid w:val="009F262D"/>
    <w:rsid w:val="009F32CB"/>
    <w:rsid w:val="00A008D6"/>
    <w:rsid w:val="00A05404"/>
    <w:rsid w:val="00A05482"/>
    <w:rsid w:val="00A059AE"/>
    <w:rsid w:val="00A077D0"/>
    <w:rsid w:val="00A1007D"/>
    <w:rsid w:val="00A12B1A"/>
    <w:rsid w:val="00A17111"/>
    <w:rsid w:val="00A257BD"/>
    <w:rsid w:val="00A26CC5"/>
    <w:rsid w:val="00A26D91"/>
    <w:rsid w:val="00A27A0A"/>
    <w:rsid w:val="00A27A48"/>
    <w:rsid w:val="00A27AD7"/>
    <w:rsid w:val="00A30A71"/>
    <w:rsid w:val="00A3134B"/>
    <w:rsid w:val="00A35D83"/>
    <w:rsid w:val="00A37DD2"/>
    <w:rsid w:val="00A41D7A"/>
    <w:rsid w:val="00A455CA"/>
    <w:rsid w:val="00A46432"/>
    <w:rsid w:val="00A47664"/>
    <w:rsid w:val="00A51372"/>
    <w:rsid w:val="00A52A68"/>
    <w:rsid w:val="00A538BA"/>
    <w:rsid w:val="00A54816"/>
    <w:rsid w:val="00A54E7B"/>
    <w:rsid w:val="00A628A1"/>
    <w:rsid w:val="00A62CB9"/>
    <w:rsid w:val="00A63032"/>
    <w:rsid w:val="00A64413"/>
    <w:rsid w:val="00A64B3A"/>
    <w:rsid w:val="00A72332"/>
    <w:rsid w:val="00A72EED"/>
    <w:rsid w:val="00A7444B"/>
    <w:rsid w:val="00A74EC6"/>
    <w:rsid w:val="00A76AA0"/>
    <w:rsid w:val="00A77A36"/>
    <w:rsid w:val="00A85667"/>
    <w:rsid w:val="00A86127"/>
    <w:rsid w:val="00A879D7"/>
    <w:rsid w:val="00A87F13"/>
    <w:rsid w:val="00A9045B"/>
    <w:rsid w:val="00A90B37"/>
    <w:rsid w:val="00A9613E"/>
    <w:rsid w:val="00A9788B"/>
    <w:rsid w:val="00AA1E61"/>
    <w:rsid w:val="00AA22F4"/>
    <w:rsid w:val="00AA4199"/>
    <w:rsid w:val="00AA4FE5"/>
    <w:rsid w:val="00AB01E1"/>
    <w:rsid w:val="00AB1443"/>
    <w:rsid w:val="00AB2853"/>
    <w:rsid w:val="00AB5A87"/>
    <w:rsid w:val="00AB6BD0"/>
    <w:rsid w:val="00AC0A84"/>
    <w:rsid w:val="00AC2FB2"/>
    <w:rsid w:val="00AC3414"/>
    <w:rsid w:val="00AC3A97"/>
    <w:rsid w:val="00AC61B1"/>
    <w:rsid w:val="00AC6D14"/>
    <w:rsid w:val="00AD068A"/>
    <w:rsid w:val="00AD0D47"/>
    <w:rsid w:val="00AD1491"/>
    <w:rsid w:val="00AD7A45"/>
    <w:rsid w:val="00AE2787"/>
    <w:rsid w:val="00AE32EF"/>
    <w:rsid w:val="00AE41C7"/>
    <w:rsid w:val="00AE4BC4"/>
    <w:rsid w:val="00AE649C"/>
    <w:rsid w:val="00AF20EA"/>
    <w:rsid w:val="00AF2928"/>
    <w:rsid w:val="00AF442F"/>
    <w:rsid w:val="00AF497D"/>
    <w:rsid w:val="00AF5E9C"/>
    <w:rsid w:val="00AF7149"/>
    <w:rsid w:val="00B03159"/>
    <w:rsid w:val="00B03B7B"/>
    <w:rsid w:val="00B0419C"/>
    <w:rsid w:val="00B0423B"/>
    <w:rsid w:val="00B0440D"/>
    <w:rsid w:val="00B056FA"/>
    <w:rsid w:val="00B07BD4"/>
    <w:rsid w:val="00B10C6E"/>
    <w:rsid w:val="00B122F9"/>
    <w:rsid w:val="00B127BC"/>
    <w:rsid w:val="00B12AC7"/>
    <w:rsid w:val="00B1474A"/>
    <w:rsid w:val="00B17560"/>
    <w:rsid w:val="00B21F2E"/>
    <w:rsid w:val="00B23A46"/>
    <w:rsid w:val="00B26B88"/>
    <w:rsid w:val="00B270B5"/>
    <w:rsid w:val="00B27EDC"/>
    <w:rsid w:val="00B31D35"/>
    <w:rsid w:val="00B32B31"/>
    <w:rsid w:val="00B33E03"/>
    <w:rsid w:val="00B360EC"/>
    <w:rsid w:val="00B37FBC"/>
    <w:rsid w:val="00B40B3F"/>
    <w:rsid w:val="00B410B6"/>
    <w:rsid w:val="00B41B36"/>
    <w:rsid w:val="00B439FC"/>
    <w:rsid w:val="00B51835"/>
    <w:rsid w:val="00B53305"/>
    <w:rsid w:val="00B568C0"/>
    <w:rsid w:val="00B56B83"/>
    <w:rsid w:val="00B5725F"/>
    <w:rsid w:val="00B57274"/>
    <w:rsid w:val="00B60E16"/>
    <w:rsid w:val="00B60E58"/>
    <w:rsid w:val="00B60FDF"/>
    <w:rsid w:val="00B61215"/>
    <w:rsid w:val="00B65F43"/>
    <w:rsid w:val="00B66AD9"/>
    <w:rsid w:val="00B735F2"/>
    <w:rsid w:val="00B776DC"/>
    <w:rsid w:val="00B77B11"/>
    <w:rsid w:val="00B82146"/>
    <w:rsid w:val="00B90A15"/>
    <w:rsid w:val="00B93C9C"/>
    <w:rsid w:val="00B9515D"/>
    <w:rsid w:val="00BA296E"/>
    <w:rsid w:val="00BA6605"/>
    <w:rsid w:val="00BA6E1A"/>
    <w:rsid w:val="00BB1FDB"/>
    <w:rsid w:val="00BB24AF"/>
    <w:rsid w:val="00BB4AD4"/>
    <w:rsid w:val="00BB682D"/>
    <w:rsid w:val="00BC359B"/>
    <w:rsid w:val="00BC54A1"/>
    <w:rsid w:val="00BC5D5D"/>
    <w:rsid w:val="00BC63A3"/>
    <w:rsid w:val="00BD049D"/>
    <w:rsid w:val="00BD05ED"/>
    <w:rsid w:val="00BD36BC"/>
    <w:rsid w:val="00BD3F6E"/>
    <w:rsid w:val="00BD44C2"/>
    <w:rsid w:val="00BD6A1F"/>
    <w:rsid w:val="00BE13F6"/>
    <w:rsid w:val="00BE3141"/>
    <w:rsid w:val="00BE71F5"/>
    <w:rsid w:val="00BE7FFA"/>
    <w:rsid w:val="00BF10AD"/>
    <w:rsid w:val="00BF1847"/>
    <w:rsid w:val="00BF490E"/>
    <w:rsid w:val="00BF548B"/>
    <w:rsid w:val="00BF7C1F"/>
    <w:rsid w:val="00C01240"/>
    <w:rsid w:val="00C022A0"/>
    <w:rsid w:val="00C04812"/>
    <w:rsid w:val="00C05875"/>
    <w:rsid w:val="00C12635"/>
    <w:rsid w:val="00C12736"/>
    <w:rsid w:val="00C13084"/>
    <w:rsid w:val="00C15775"/>
    <w:rsid w:val="00C20CBE"/>
    <w:rsid w:val="00C220E2"/>
    <w:rsid w:val="00C22651"/>
    <w:rsid w:val="00C22792"/>
    <w:rsid w:val="00C27008"/>
    <w:rsid w:val="00C27596"/>
    <w:rsid w:val="00C32C81"/>
    <w:rsid w:val="00C345C3"/>
    <w:rsid w:val="00C353E2"/>
    <w:rsid w:val="00C3702C"/>
    <w:rsid w:val="00C37623"/>
    <w:rsid w:val="00C402F0"/>
    <w:rsid w:val="00C418DA"/>
    <w:rsid w:val="00C41E95"/>
    <w:rsid w:val="00C428E6"/>
    <w:rsid w:val="00C42A87"/>
    <w:rsid w:val="00C4316C"/>
    <w:rsid w:val="00C445D5"/>
    <w:rsid w:val="00C449B4"/>
    <w:rsid w:val="00C55223"/>
    <w:rsid w:val="00C60424"/>
    <w:rsid w:val="00C6214C"/>
    <w:rsid w:val="00C63D9F"/>
    <w:rsid w:val="00C67AF4"/>
    <w:rsid w:val="00C72538"/>
    <w:rsid w:val="00C72DB3"/>
    <w:rsid w:val="00C75639"/>
    <w:rsid w:val="00C757FF"/>
    <w:rsid w:val="00C75C01"/>
    <w:rsid w:val="00C831BB"/>
    <w:rsid w:val="00C87958"/>
    <w:rsid w:val="00C90466"/>
    <w:rsid w:val="00C95562"/>
    <w:rsid w:val="00C96971"/>
    <w:rsid w:val="00C97119"/>
    <w:rsid w:val="00C975F1"/>
    <w:rsid w:val="00CA0D71"/>
    <w:rsid w:val="00CA170B"/>
    <w:rsid w:val="00CA2970"/>
    <w:rsid w:val="00CA352C"/>
    <w:rsid w:val="00CA35D2"/>
    <w:rsid w:val="00CB10FD"/>
    <w:rsid w:val="00CB1DE7"/>
    <w:rsid w:val="00CB243F"/>
    <w:rsid w:val="00CB3187"/>
    <w:rsid w:val="00CB752E"/>
    <w:rsid w:val="00CC071A"/>
    <w:rsid w:val="00CC0F55"/>
    <w:rsid w:val="00CC25ED"/>
    <w:rsid w:val="00CC2D24"/>
    <w:rsid w:val="00CC3951"/>
    <w:rsid w:val="00CC3C4F"/>
    <w:rsid w:val="00CC413A"/>
    <w:rsid w:val="00CC7910"/>
    <w:rsid w:val="00CD6544"/>
    <w:rsid w:val="00CD7466"/>
    <w:rsid w:val="00CE09B4"/>
    <w:rsid w:val="00CE0BEF"/>
    <w:rsid w:val="00CE1118"/>
    <w:rsid w:val="00CE3366"/>
    <w:rsid w:val="00CE48C6"/>
    <w:rsid w:val="00CE4A8E"/>
    <w:rsid w:val="00CF1415"/>
    <w:rsid w:val="00CF3C04"/>
    <w:rsid w:val="00CF4D4D"/>
    <w:rsid w:val="00CF5CD4"/>
    <w:rsid w:val="00D01082"/>
    <w:rsid w:val="00D04045"/>
    <w:rsid w:val="00D05F80"/>
    <w:rsid w:val="00D06091"/>
    <w:rsid w:val="00D06B40"/>
    <w:rsid w:val="00D103D9"/>
    <w:rsid w:val="00D15148"/>
    <w:rsid w:val="00D21B65"/>
    <w:rsid w:val="00D24065"/>
    <w:rsid w:val="00D26E51"/>
    <w:rsid w:val="00D33473"/>
    <w:rsid w:val="00D340F4"/>
    <w:rsid w:val="00D35896"/>
    <w:rsid w:val="00D359CD"/>
    <w:rsid w:val="00D374CD"/>
    <w:rsid w:val="00D42BC3"/>
    <w:rsid w:val="00D43DA9"/>
    <w:rsid w:val="00D50FAD"/>
    <w:rsid w:val="00D51604"/>
    <w:rsid w:val="00D517AE"/>
    <w:rsid w:val="00D51A88"/>
    <w:rsid w:val="00D566E6"/>
    <w:rsid w:val="00D57B21"/>
    <w:rsid w:val="00D61BC0"/>
    <w:rsid w:val="00D62834"/>
    <w:rsid w:val="00D648BC"/>
    <w:rsid w:val="00D664B0"/>
    <w:rsid w:val="00D71C5D"/>
    <w:rsid w:val="00D74170"/>
    <w:rsid w:val="00D7465A"/>
    <w:rsid w:val="00D747A5"/>
    <w:rsid w:val="00D748B0"/>
    <w:rsid w:val="00D81C75"/>
    <w:rsid w:val="00D8334D"/>
    <w:rsid w:val="00D86339"/>
    <w:rsid w:val="00D906CD"/>
    <w:rsid w:val="00D91FAA"/>
    <w:rsid w:val="00D94092"/>
    <w:rsid w:val="00D96C5F"/>
    <w:rsid w:val="00D96E74"/>
    <w:rsid w:val="00D9784E"/>
    <w:rsid w:val="00DA329D"/>
    <w:rsid w:val="00DA4E94"/>
    <w:rsid w:val="00DA6293"/>
    <w:rsid w:val="00DB5009"/>
    <w:rsid w:val="00DB560E"/>
    <w:rsid w:val="00DB673C"/>
    <w:rsid w:val="00DB6AF3"/>
    <w:rsid w:val="00DB7D79"/>
    <w:rsid w:val="00DC5109"/>
    <w:rsid w:val="00DD185B"/>
    <w:rsid w:val="00DD4FE8"/>
    <w:rsid w:val="00DD511D"/>
    <w:rsid w:val="00DD5536"/>
    <w:rsid w:val="00DD5995"/>
    <w:rsid w:val="00DD5A02"/>
    <w:rsid w:val="00DD648B"/>
    <w:rsid w:val="00DD66C2"/>
    <w:rsid w:val="00DD7030"/>
    <w:rsid w:val="00DE07C2"/>
    <w:rsid w:val="00DE0DA0"/>
    <w:rsid w:val="00DE4612"/>
    <w:rsid w:val="00DE4913"/>
    <w:rsid w:val="00DE7354"/>
    <w:rsid w:val="00DF02E8"/>
    <w:rsid w:val="00DF09ED"/>
    <w:rsid w:val="00DF4EF1"/>
    <w:rsid w:val="00DF59F7"/>
    <w:rsid w:val="00DF5E61"/>
    <w:rsid w:val="00DF65D7"/>
    <w:rsid w:val="00E01C29"/>
    <w:rsid w:val="00E036BA"/>
    <w:rsid w:val="00E0479D"/>
    <w:rsid w:val="00E10CD2"/>
    <w:rsid w:val="00E1196C"/>
    <w:rsid w:val="00E14882"/>
    <w:rsid w:val="00E14A17"/>
    <w:rsid w:val="00E1539D"/>
    <w:rsid w:val="00E17EE8"/>
    <w:rsid w:val="00E25241"/>
    <w:rsid w:val="00E263CA"/>
    <w:rsid w:val="00E31126"/>
    <w:rsid w:val="00E319DD"/>
    <w:rsid w:val="00E31F31"/>
    <w:rsid w:val="00E34337"/>
    <w:rsid w:val="00E359E0"/>
    <w:rsid w:val="00E35E5E"/>
    <w:rsid w:val="00E40C37"/>
    <w:rsid w:val="00E417C6"/>
    <w:rsid w:val="00E426D4"/>
    <w:rsid w:val="00E43519"/>
    <w:rsid w:val="00E4795F"/>
    <w:rsid w:val="00E50416"/>
    <w:rsid w:val="00E514EE"/>
    <w:rsid w:val="00E530AF"/>
    <w:rsid w:val="00E54078"/>
    <w:rsid w:val="00E565B2"/>
    <w:rsid w:val="00E567AB"/>
    <w:rsid w:val="00E61355"/>
    <w:rsid w:val="00E63D6A"/>
    <w:rsid w:val="00E6451D"/>
    <w:rsid w:val="00E669AC"/>
    <w:rsid w:val="00E73DC7"/>
    <w:rsid w:val="00E77307"/>
    <w:rsid w:val="00E804D1"/>
    <w:rsid w:val="00E87742"/>
    <w:rsid w:val="00E91761"/>
    <w:rsid w:val="00E92179"/>
    <w:rsid w:val="00E92A08"/>
    <w:rsid w:val="00E92F95"/>
    <w:rsid w:val="00E9384A"/>
    <w:rsid w:val="00E95578"/>
    <w:rsid w:val="00E96119"/>
    <w:rsid w:val="00E97490"/>
    <w:rsid w:val="00EB0161"/>
    <w:rsid w:val="00EB3203"/>
    <w:rsid w:val="00EB4E15"/>
    <w:rsid w:val="00EB4E41"/>
    <w:rsid w:val="00EB78B3"/>
    <w:rsid w:val="00EB7A4C"/>
    <w:rsid w:val="00EC1A12"/>
    <w:rsid w:val="00EC70A9"/>
    <w:rsid w:val="00ED096B"/>
    <w:rsid w:val="00ED1111"/>
    <w:rsid w:val="00ED1E31"/>
    <w:rsid w:val="00EE0276"/>
    <w:rsid w:val="00EE097E"/>
    <w:rsid w:val="00EE131B"/>
    <w:rsid w:val="00EE1639"/>
    <w:rsid w:val="00EE38B6"/>
    <w:rsid w:val="00EE48CC"/>
    <w:rsid w:val="00EE4B39"/>
    <w:rsid w:val="00EE5CD6"/>
    <w:rsid w:val="00EE6594"/>
    <w:rsid w:val="00EE66F1"/>
    <w:rsid w:val="00EF0950"/>
    <w:rsid w:val="00EF33A0"/>
    <w:rsid w:val="00EF3890"/>
    <w:rsid w:val="00EF51D4"/>
    <w:rsid w:val="00EF6F32"/>
    <w:rsid w:val="00EF7753"/>
    <w:rsid w:val="00F02C5D"/>
    <w:rsid w:val="00F0302E"/>
    <w:rsid w:val="00F03B50"/>
    <w:rsid w:val="00F05C68"/>
    <w:rsid w:val="00F07012"/>
    <w:rsid w:val="00F1220E"/>
    <w:rsid w:val="00F13846"/>
    <w:rsid w:val="00F13DAC"/>
    <w:rsid w:val="00F145F8"/>
    <w:rsid w:val="00F162A6"/>
    <w:rsid w:val="00F2033B"/>
    <w:rsid w:val="00F21DA0"/>
    <w:rsid w:val="00F22E0E"/>
    <w:rsid w:val="00F24AE5"/>
    <w:rsid w:val="00F2611E"/>
    <w:rsid w:val="00F32E42"/>
    <w:rsid w:val="00F33620"/>
    <w:rsid w:val="00F34964"/>
    <w:rsid w:val="00F351DE"/>
    <w:rsid w:val="00F37245"/>
    <w:rsid w:val="00F37540"/>
    <w:rsid w:val="00F47444"/>
    <w:rsid w:val="00F50811"/>
    <w:rsid w:val="00F514EA"/>
    <w:rsid w:val="00F54553"/>
    <w:rsid w:val="00F547ED"/>
    <w:rsid w:val="00F5487B"/>
    <w:rsid w:val="00F55006"/>
    <w:rsid w:val="00F567B5"/>
    <w:rsid w:val="00F65507"/>
    <w:rsid w:val="00F659E0"/>
    <w:rsid w:val="00F65D03"/>
    <w:rsid w:val="00F70BB6"/>
    <w:rsid w:val="00F72F05"/>
    <w:rsid w:val="00F77637"/>
    <w:rsid w:val="00F827B3"/>
    <w:rsid w:val="00F92D18"/>
    <w:rsid w:val="00F93217"/>
    <w:rsid w:val="00F93C1D"/>
    <w:rsid w:val="00F96F5C"/>
    <w:rsid w:val="00F97DDA"/>
    <w:rsid w:val="00FA08C8"/>
    <w:rsid w:val="00FA0BED"/>
    <w:rsid w:val="00FA0F35"/>
    <w:rsid w:val="00FA29B4"/>
    <w:rsid w:val="00FA355D"/>
    <w:rsid w:val="00FA5DEB"/>
    <w:rsid w:val="00FA6466"/>
    <w:rsid w:val="00FA699A"/>
    <w:rsid w:val="00FB18B7"/>
    <w:rsid w:val="00FB23ED"/>
    <w:rsid w:val="00FB43BE"/>
    <w:rsid w:val="00FB53A6"/>
    <w:rsid w:val="00FC06EC"/>
    <w:rsid w:val="00FC07FC"/>
    <w:rsid w:val="00FC309E"/>
    <w:rsid w:val="00FC32FC"/>
    <w:rsid w:val="00FC543A"/>
    <w:rsid w:val="00FC55C2"/>
    <w:rsid w:val="00FC6AAF"/>
    <w:rsid w:val="00FD04B1"/>
    <w:rsid w:val="00FD1447"/>
    <w:rsid w:val="00FD1E78"/>
    <w:rsid w:val="00FD32A4"/>
    <w:rsid w:val="00FD3432"/>
    <w:rsid w:val="00FD66DE"/>
    <w:rsid w:val="00FD7C99"/>
    <w:rsid w:val="00FE017B"/>
    <w:rsid w:val="00FE0FDC"/>
    <w:rsid w:val="00FE1D46"/>
    <w:rsid w:val="00FE4583"/>
    <w:rsid w:val="00FF0DEA"/>
    <w:rsid w:val="00FF25F2"/>
    <w:rsid w:val="00FF2B72"/>
    <w:rsid w:val="00FF3C44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0E0E"/>
  <w15:docId w15:val="{EE8BFF99-5E6B-44BF-826C-70B4BFB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01">
    <w:name w:val="fontstyle01"/>
    <w:basedOn w:val="12"/>
    <w:link w:val="fontstyle010"/>
    <w:rPr>
      <w:rFonts w:ascii="RobotoCondensed-Light" w:hAnsi="RobotoCondensed-Light"/>
      <w:color w:val="231F20"/>
      <w:sz w:val="18"/>
    </w:rPr>
  </w:style>
  <w:style w:type="character" w:customStyle="1" w:styleId="fontstyle010">
    <w:name w:val="fontstyle01"/>
    <w:basedOn w:val="a0"/>
    <w:link w:val="fontstyle01"/>
    <w:rPr>
      <w:rFonts w:ascii="RobotoCondensed-Light" w:hAnsi="RobotoCondensed-Light"/>
      <w:b w:val="0"/>
      <w:i w:val="0"/>
      <w:color w:val="231F20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StGen0">
    <w:name w:val="StGen0"/>
    <w:basedOn w:val="a"/>
    <w:next w:val="a"/>
    <w:link w:val="StGen1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StGen1">
    <w:name w:val="StGen1"/>
    <w:basedOn w:val="1"/>
    <w:link w:val="StGen0"/>
    <w:semiHidden/>
    <w:unhideWhenUsed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fontstyle21">
    <w:name w:val="fontstyle21"/>
    <w:basedOn w:val="12"/>
    <w:link w:val="fontstyle210"/>
    <w:rPr>
      <w:rFonts w:ascii="RobotoCondensed-LightItalic" w:hAnsi="RobotoCondensed-LightItalic"/>
      <w:i/>
      <w:color w:val="231F20"/>
      <w:sz w:val="18"/>
    </w:rPr>
  </w:style>
  <w:style w:type="character" w:customStyle="1" w:styleId="fontstyle210">
    <w:name w:val="fontstyle21"/>
    <w:basedOn w:val="a0"/>
    <w:link w:val="fontstyle21"/>
    <w:rPr>
      <w:rFonts w:ascii="RobotoCondensed-LightItalic" w:hAnsi="RobotoCondensed-LightItalic"/>
      <w:b w:val="0"/>
      <w:i/>
      <w:color w:val="231F20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2"/>
    <w:link w:val="af2"/>
    <w:rPr>
      <w:color w:val="467886" w:themeColor="hyperlink"/>
      <w:u w:val="single"/>
    </w:rPr>
  </w:style>
  <w:style w:type="character" w:styleId="af2">
    <w:name w:val="Hyperlink"/>
    <w:basedOn w:val="a0"/>
    <w:link w:val="14"/>
    <w:rPr>
      <w:color w:val="467886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Gen2">
    <w:name w:val="StGen2"/>
    <w:basedOn w:val="a"/>
    <w:next w:val="a"/>
    <w:link w:val="StGen3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StGen3">
    <w:name w:val="StGen3"/>
    <w:basedOn w:val="1"/>
    <w:link w:val="StGen2"/>
    <w:semiHidden/>
    <w:unhideWhenUsed/>
    <w:rPr>
      <w:rFonts w:ascii="Arial" w:hAnsi="Arial"/>
      <w:sz w:val="16"/>
    </w:rPr>
  </w:style>
  <w:style w:type="paragraph" w:styleId="af3">
    <w:name w:val="Intense Quote"/>
    <w:basedOn w:val="a"/>
    <w:next w:val="a"/>
    <w:link w:val="af4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f4">
    <w:name w:val="Выделенная цитата Знак"/>
    <w:basedOn w:val="1"/>
    <w:link w:val="af3"/>
    <w:rPr>
      <w:i/>
      <w:color w:val="0F4761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Знак сноски1"/>
    <w:basedOn w:val="12"/>
    <w:link w:val="af5"/>
    <w:rPr>
      <w:vertAlign w:val="superscript"/>
    </w:rPr>
  </w:style>
  <w:style w:type="character" w:styleId="af5">
    <w:name w:val="footnote reference"/>
    <w:basedOn w:val="a0"/>
    <w:link w:val="17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serp-item">
    <w:name w:val="serp-item"/>
    <w:basedOn w:val="a"/>
    <w:link w:val="serp-item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serp-item0">
    <w:name w:val="serp-item"/>
    <w:basedOn w:val="1"/>
    <w:link w:val="serp-item"/>
    <w:rPr>
      <w:rFonts w:ascii="Times New Roman" w:hAnsi="Times New Roman"/>
    </w:rPr>
  </w:style>
  <w:style w:type="paragraph" w:customStyle="1" w:styleId="af6">
    <w:name w:val="Заголовок секции"/>
    <w:basedOn w:val="2"/>
    <w:link w:val="af7"/>
    <w:pPr>
      <w:keepLines w:val="0"/>
      <w:spacing w:before="240" w:after="60"/>
      <w:contextualSpacing/>
      <w:jc w:val="center"/>
    </w:pPr>
    <w:rPr>
      <w:rFonts w:ascii="Times New Roman" w:hAnsi="Times New Roman"/>
      <w:b/>
      <w:color w:val="000000"/>
      <w:sz w:val="24"/>
    </w:rPr>
  </w:style>
  <w:style w:type="character" w:customStyle="1" w:styleId="af7">
    <w:name w:val="Заголовок секции"/>
    <w:basedOn w:val="20"/>
    <w:link w:val="af6"/>
    <w:rPr>
      <w:rFonts w:ascii="Times New Roman" w:hAnsi="Times New Roman"/>
      <w:b/>
      <w:color w:val="000000"/>
      <w:sz w:val="24"/>
    </w:rPr>
  </w:style>
  <w:style w:type="paragraph" w:customStyle="1" w:styleId="18">
    <w:name w:val="Знак примечания1"/>
    <w:basedOn w:val="12"/>
    <w:link w:val="af8"/>
    <w:rPr>
      <w:sz w:val="16"/>
    </w:rPr>
  </w:style>
  <w:style w:type="character" w:styleId="af8">
    <w:name w:val="annotation reference"/>
    <w:basedOn w:val="a0"/>
    <w:link w:val="18"/>
    <w:rPr>
      <w:sz w:val="1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a">
    <w:name w:val="Подзаголовок Знак"/>
    <w:basedOn w:val="1"/>
    <w:link w:val="af9"/>
    <w:rPr>
      <w:color w:val="595959" w:themeColor="text1" w:themeTint="A6"/>
      <w:spacing w:val="15"/>
      <w:sz w:val="28"/>
    </w:rPr>
  </w:style>
  <w:style w:type="paragraph" w:styleId="afb">
    <w:name w:val="annotation text"/>
    <w:basedOn w:val="a"/>
    <w:link w:val="a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c">
    <w:name w:val="Текст примечания Знак"/>
    <w:basedOn w:val="1"/>
    <w:link w:val="afb"/>
    <w:rPr>
      <w:rFonts w:ascii="Times New Roman" w:hAnsi="Times New Roman"/>
      <w:sz w:val="20"/>
    </w:rPr>
  </w:style>
  <w:style w:type="paragraph" w:customStyle="1" w:styleId="19">
    <w:name w:val="Сильная ссылка1"/>
    <w:basedOn w:val="12"/>
    <w:link w:val="afd"/>
    <w:rPr>
      <w:b/>
      <w:smallCaps/>
      <w:color w:val="0F4761" w:themeColor="accent1" w:themeShade="BF"/>
      <w:spacing w:val="5"/>
    </w:rPr>
  </w:style>
  <w:style w:type="character" w:styleId="afd">
    <w:name w:val="Intense Reference"/>
    <w:basedOn w:val="a0"/>
    <w:link w:val="19"/>
    <w:rPr>
      <w:b/>
      <w:smallCaps/>
      <w:color w:val="0F4761" w:themeColor="accent1" w:themeShade="BF"/>
      <w:spacing w:val="5"/>
    </w:rPr>
  </w:style>
  <w:style w:type="paragraph" w:styleId="afe">
    <w:name w:val="Title"/>
    <w:basedOn w:val="a"/>
    <w:next w:val="a"/>
    <w:link w:val="aff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">
    <w:name w:val="Заголовок Знак"/>
    <w:basedOn w:val="1"/>
    <w:link w:val="a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customStyle="1" w:styleId="1a">
    <w:name w:val="Сильное выделение1"/>
    <w:basedOn w:val="12"/>
    <w:link w:val="aff0"/>
    <w:rPr>
      <w:i/>
      <w:color w:val="0F4761" w:themeColor="accent1" w:themeShade="BF"/>
    </w:rPr>
  </w:style>
  <w:style w:type="character" w:styleId="aff0">
    <w:name w:val="Intense Emphasis"/>
    <w:basedOn w:val="a0"/>
    <w:link w:val="1a"/>
    <w:rPr>
      <w:i/>
      <w:color w:val="0F4761" w:themeColor="accent1" w:themeShade="BF"/>
    </w:rPr>
  </w:style>
  <w:style w:type="paragraph" w:customStyle="1" w:styleId="1b">
    <w:name w:val="Просмотренная гиперссылка1"/>
    <w:basedOn w:val="12"/>
    <w:link w:val="aff1"/>
    <w:rPr>
      <w:color w:val="96607D" w:themeColor="followedHyperlink"/>
      <w:u w:val="single"/>
    </w:rPr>
  </w:style>
  <w:style w:type="character" w:styleId="aff1">
    <w:name w:val="FollowedHyperlink"/>
    <w:basedOn w:val="a0"/>
    <w:link w:val="1b"/>
    <w:rPr>
      <w:color w:val="96607D" w:themeColor="followedHyperlink"/>
      <w:u w:val="single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Метаданные без интервала"/>
    <w:basedOn w:val="a"/>
    <w:link w:val="aff4"/>
    <w:qFormat/>
    <w:rsid w:val="0040146E"/>
    <w:pPr>
      <w:spacing w:after="0" w:line="240" w:lineRule="auto"/>
      <w:contextualSpacing/>
      <w:jc w:val="both"/>
    </w:pPr>
    <w:rPr>
      <w:rFonts w:ascii="Times New Roman" w:eastAsiaTheme="minorHAnsi" w:hAnsi="Times New Roman" w:cstheme="minorBidi"/>
      <w:color w:val="auto"/>
      <w:szCs w:val="24"/>
      <w:lang w:eastAsia="en-US"/>
    </w:rPr>
  </w:style>
  <w:style w:type="character" w:customStyle="1" w:styleId="aff4">
    <w:name w:val="Метаданные без интервала Знак"/>
    <w:basedOn w:val="a0"/>
    <w:link w:val="aff3"/>
    <w:rsid w:val="0040146E"/>
    <w:rPr>
      <w:rFonts w:ascii="Times New Roman" w:eastAsiaTheme="minorHAnsi" w:hAnsi="Times New Roman" w:cstheme="minorBidi"/>
      <w:color w:val="auto"/>
      <w:szCs w:val="24"/>
      <w:lang w:eastAsia="en-US"/>
    </w:rPr>
  </w:style>
  <w:style w:type="paragraph" w:styleId="aff5">
    <w:name w:val="Normal (Web)"/>
    <w:basedOn w:val="a"/>
    <w:uiPriority w:val="99"/>
    <w:semiHidden/>
    <w:unhideWhenUsed/>
    <w:rsid w:val="005C69D5"/>
    <w:rPr>
      <w:rFonts w:ascii="Times New Roman" w:hAnsi="Times New Roman"/>
      <w:szCs w:val="24"/>
    </w:rPr>
  </w:style>
  <w:style w:type="character" w:customStyle="1" w:styleId="tr-popupvalue">
    <w:name w:val="tr-popup__value"/>
    <w:basedOn w:val="a0"/>
    <w:rsid w:val="00D15148"/>
  </w:style>
  <w:style w:type="character" w:customStyle="1" w:styleId="tr-popuplink">
    <w:name w:val="tr-popup__link"/>
    <w:basedOn w:val="a0"/>
    <w:rsid w:val="00D15148"/>
  </w:style>
  <w:style w:type="paragraph" w:styleId="aff6">
    <w:name w:val="Balloon Text"/>
    <w:basedOn w:val="a"/>
    <w:link w:val="aff7"/>
    <w:uiPriority w:val="99"/>
    <w:semiHidden/>
    <w:unhideWhenUsed/>
    <w:rsid w:val="00CE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CE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9065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629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5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3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396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fcwduv" TargetMode="External"/><Relationship Id="rId18" Type="http://schemas.openxmlformats.org/officeDocument/2006/relationships/hyperlink" Target="https://elibrary.ru/tsygyn" TargetMode="External"/><Relationship Id="rId26" Type="http://schemas.openxmlformats.org/officeDocument/2006/relationships/hyperlink" Target="https://doi.org/10.33917/mic-1.90.2020.65-7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xsxka" TargetMode="External"/><Relationship Id="rId34" Type="http://schemas.openxmlformats.org/officeDocument/2006/relationships/hyperlink" Target="https://elibrary.ru/lfaxq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34/s1075700722040062" TargetMode="External"/><Relationship Id="rId17" Type="http://schemas.openxmlformats.org/officeDocument/2006/relationships/hyperlink" Target="https://elibrary.ru/qmyywb" TargetMode="External"/><Relationship Id="rId25" Type="http://schemas.openxmlformats.org/officeDocument/2006/relationships/hyperlink" Target="https://elibrary.ru/sjucvt" TargetMode="External"/><Relationship Id="rId33" Type="http://schemas.openxmlformats.org/officeDocument/2006/relationships/hyperlink" Target="https://doi.org/10.1016/j.resourpol.2023.1045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renroj" TargetMode="External"/><Relationship Id="rId20" Type="http://schemas.openxmlformats.org/officeDocument/2006/relationships/hyperlink" Target="https://elibrary.ru/anoxee" TargetMode="External"/><Relationship Id="rId29" Type="http://schemas.openxmlformats.org/officeDocument/2006/relationships/hyperlink" Target="https://elibrary.ru/vbagu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haosgf" TargetMode="External"/><Relationship Id="rId24" Type="http://schemas.openxmlformats.org/officeDocument/2006/relationships/hyperlink" Target="https://elibrary.ru/qxtfgp" TargetMode="External"/><Relationship Id="rId32" Type="http://schemas.openxmlformats.org/officeDocument/2006/relationships/hyperlink" Target="https://elibrary.ru/tngw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geoen.2024.213457" TargetMode="External"/><Relationship Id="rId23" Type="http://schemas.openxmlformats.org/officeDocument/2006/relationships/hyperlink" Target="https://doi.org/10.1016/j.heliyon.2021.e07646" TargetMode="External"/><Relationship Id="rId28" Type="http://schemas.openxmlformats.org/officeDocument/2006/relationships/hyperlink" Target="https://elibrary.ru/rleud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16/j.enpol.2023.113929" TargetMode="External"/><Relationship Id="rId19" Type="http://schemas.openxmlformats.org/officeDocument/2006/relationships/hyperlink" Target="https://doi.org/10.25728/ubs.2019.81.6" TargetMode="External"/><Relationship Id="rId31" Type="http://schemas.openxmlformats.org/officeDocument/2006/relationships/hyperlink" Target="https://doi.org/10.18334/epp.10.11.111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tekpfw" TargetMode="External"/><Relationship Id="rId14" Type="http://schemas.openxmlformats.org/officeDocument/2006/relationships/hyperlink" Target="https://elibrary.ru/cbeobr" TargetMode="External"/><Relationship Id="rId22" Type="http://schemas.openxmlformats.org/officeDocument/2006/relationships/hyperlink" Target="https://elibrary.ru/vzwhjf" TargetMode="External"/><Relationship Id="rId27" Type="http://schemas.openxmlformats.org/officeDocument/2006/relationships/hyperlink" Target="https://elibrary.ru/natgjb" TargetMode="External"/><Relationship Id="rId30" Type="http://schemas.openxmlformats.org/officeDocument/2006/relationships/hyperlink" Target="https://elibrary.ru/twsgv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1016/j.resourpol.2020.101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23EF-377E-45A2-B03E-0BC04E9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Левкович Сергей Владимирович</dc:creator>
  <cp:lastModifiedBy>aleksa-agent@mail.ru</cp:lastModifiedBy>
  <cp:revision>3</cp:revision>
  <dcterms:created xsi:type="dcterms:W3CDTF">2025-09-29T14:45:00Z</dcterms:created>
  <dcterms:modified xsi:type="dcterms:W3CDTF">2025-09-29T14:46:00Z</dcterms:modified>
</cp:coreProperties>
</file>