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DA9" w:rsidRPr="006A4DA9" w:rsidRDefault="006A4DA9" w:rsidP="006A4DA9">
      <w:pPr>
        <w:rPr>
          <w:lang w:val="en-US"/>
        </w:rPr>
      </w:pPr>
      <w:r w:rsidRPr="006A4DA9">
        <w:rPr>
          <w:lang w:val="en-US"/>
        </w:rPr>
        <w:t>REFERENCES</w:t>
      </w:r>
    </w:p>
    <w:p w:rsidR="006A4DA9" w:rsidRPr="006A4DA9" w:rsidRDefault="006A4DA9" w:rsidP="006A4DA9">
      <w:pPr>
        <w:rPr>
          <w:lang w:val="en-US"/>
        </w:rPr>
      </w:pPr>
    </w:p>
    <w:p w:rsidR="006A4DA9" w:rsidRPr="006A4DA9" w:rsidRDefault="006A4DA9" w:rsidP="006A4DA9">
      <w:pPr>
        <w:rPr>
          <w:lang w:val="en-US"/>
        </w:rPr>
      </w:pPr>
      <w:r w:rsidRPr="006A4DA9">
        <w:rPr>
          <w:lang w:val="en-US"/>
        </w:rPr>
        <w:t xml:space="preserve">1. Campion L. (1953). Second Chamber in The- ory and Practice, Parliamentary Affairs, vol. 7, no. 1, </w:t>
      </w:r>
      <w:r>
        <w:t>рр</w:t>
      </w:r>
      <w:r w:rsidRPr="006A4DA9">
        <w:rPr>
          <w:lang w:val="en-US"/>
        </w:rPr>
        <w:t>. 17–32.</w:t>
      </w:r>
    </w:p>
    <w:p w:rsidR="006A4DA9" w:rsidRPr="006A4DA9" w:rsidRDefault="006A4DA9" w:rsidP="006A4DA9">
      <w:pPr>
        <w:rPr>
          <w:lang w:val="en-US"/>
        </w:rPr>
      </w:pPr>
    </w:p>
    <w:p w:rsidR="006A4DA9" w:rsidRPr="006A4DA9" w:rsidRDefault="006A4DA9" w:rsidP="006A4DA9">
      <w:pPr>
        <w:rPr>
          <w:lang w:val="en-US"/>
        </w:rPr>
      </w:pPr>
      <w:r w:rsidRPr="006A4DA9">
        <w:rPr>
          <w:lang w:val="en-US"/>
        </w:rPr>
        <w:t xml:space="preserve">2. Levmore S. (1992). Bicameralism: When are two Decisions better than One? International Review of Law and Economics, vol. 12, no. 2, </w:t>
      </w:r>
      <w:r>
        <w:t>рр</w:t>
      </w:r>
      <w:r w:rsidRPr="006A4DA9">
        <w:rPr>
          <w:lang w:val="en-US"/>
        </w:rPr>
        <w:t>. 145–162.</w:t>
      </w:r>
    </w:p>
    <w:p w:rsidR="006A4DA9" w:rsidRPr="006A4DA9" w:rsidRDefault="006A4DA9" w:rsidP="006A4DA9">
      <w:pPr>
        <w:rPr>
          <w:lang w:val="en-US"/>
        </w:rPr>
      </w:pPr>
    </w:p>
    <w:p w:rsidR="006A4DA9" w:rsidRPr="006A4DA9" w:rsidRDefault="006A4DA9" w:rsidP="006A4DA9">
      <w:pPr>
        <w:rPr>
          <w:lang w:val="en-US"/>
        </w:rPr>
      </w:pPr>
      <w:r w:rsidRPr="006A4DA9">
        <w:rPr>
          <w:lang w:val="en-US"/>
        </w:rPr>
        <w:t xml:space="preserve">3. Smith D.E. (2003). The Canadian Senate in Bicameral Perspective. Toronto: University of Toron- to Press. 263 </w:t>
      </w:r>
      <w:r>
        <w:t>р</w:t>
      </w:r>
      <w:r w:rsidRPr="006A4DA9">
        <w:rPr>
          <w:lang w:val="en-US"/>
        </w:rPr>
        <w:t>. DOI: 10.3138/9781442680609.</w:t>
      </w:r>
    </w:p>
    <w:p w:rsidR="006A4DA9" w:rsidRPr="006A4DA9" w:rsidRDefault="006A4DA9" w:rsidP="006A4DA9">
      <w:pPr>
        <w:rPr>
          <w:lang w:val="en-US"/>
        </w:rPr>
      </w:pPr>
    </w:p>
    <w:p w:rsidR="006A4DA9" w:rsidRPr="006A4DA9" w:rsidRDefault="006A4DA9" w:rsidP="006A4DA9">
      <w:pPr>
        <w:rPr>
          <w:lang w:val="en-US"/>
        </w:rPr>
      </w:pPr>
      <w:r w:rsidRPr="006A4DA9">
        <w:rPr>
          <w:lang w:val="en-US"/>
        </w:rPr>
        <w:t>4. Uhr J. (2006). Bicameralism. In: The Oxford Handbook of Political Institutions. Oxford: Oxford University Press. P</w:t>
      </w:r>
      <w:r>
        <w:t>р</w:t>
      </w:r>
      <w:r w:rsidRPr="006A4DA9">
        <w:rPr>
          <w:lang w:val="en-US"/>
        </w:rPr>
        <w:t>. 474–494.</w:t>
      </w:r>
    </w:p>
    <w:p w:rsidR="006A4DA9" w:rsidRPr="006A4DA9" w:rsidRDefault="006A4DA9" w:rsidP="006A4DA9">
      <w:pPr>
        <w:rPr>
          <w:lang w:val="en-US"/>
        </w:rPr>
      </w:pPr>
    </w:p>
    <w:p w:rsidR="006A4DA9" w:rsidRPr="006A4DA9" w:rsidRDefault="006A4DA9" w:rsidP="006A4DA9">
      <w:pPr>
        <w:rPr>
          <w:lang w:val="en-US"/>
        </w:rPr>
      </w:pPr>
      <w:r w:rsidRPr="006A4DA9">
        <w:rPr>
          <w:lang w:val="en-US"/>
        </w:rPr>
        <w:t xml:space="preserve">5. Diermbier D., Feddersen T. (1998). Cohe- sion in legislatures and the vote of confidence pro- cedure, American Political Science Review, vol. 92, no. 3, </w:t>
      </w:r>
      <w:r>
        <w:t>рр</w:t>
      </w:r>
      <w:r w:rsidRPr="006A4DA9">
        <w:rPr>
          <w:lang w:val="en-US"/>
        </w:rPr>
        <w:t>. 611–621. DOI: 10.2307/2585484.</w:t>
      </w:r>
    </w:p>
    <w:p w:rsidR="006A4DA9" w:rsidRPr="006A4DA9" w:rsidRDefault="006A4DA9" w:rsidP="006A4DA9">
      <w:pPr>
        <w:rPr>
          <w:lang w:val="en-US"/>
        </w:rPr>
      </w:pPr>
    </w:p>
    <w:p w:rsidR="006A4DA9" w:rsidRPr="006A4DA9" w:rsidRDefault="006A4DA9" w:rsidP="006A4DA9">
      <w:pPr>
        <w:rPr>
          <w:lang w:val="en-US"/>
        </w:rPr>
      </w:pPr>
      <w:r w:rsidRPr="006A4DA9">
        <w:rPr>
          <w:lang w:val="en-US"/>
        </w:rPr>
        <w:t xml:space="preserve">6. Tsebelis G., Money J. (1997). Bicameralism. Cambridge: Cambridge University Press. 250 </w:t>
      </w:r>
      <w:r>
        <w:t>р</w:t>
      </w:r>
      <w:r w:rsidRPr="006A4DA9">
        <w:rPr>
          <w:lang w:val="en-US"/>
        </w:rPr>
        <w:t>.</w:t>
      </w:r>
    </w:p>
    <w:p w:rsidR="006A4DA9" w:rsidRPr="006A4DA9" w:rsidRDefault="006A4DA9" w:rsidP="006A4DA9">
      <w:pPr>
        <w:rPr>
          <w:lang w:val="en-US"/>
        </w:rPr>
      </w:pPr>
    </w:p>
    <w:p w:rsidR="006A4DA9" w:rsidRPr="006A4DA9" w:rsidRDefault="006A4DA9" w:rsidP="006A4DA9">
      <w:pPr>
        <w:rPr>
          <w:lang w:val="en-US"/>
        </w:rPr>
      </w:pPr>
      <w:r w:rsidRPr="006A4DA9">
        <w:rPr>
          <w:lang w:val="en-US"/>
        </w:rPr>
        <w:t xml:space="preserve">7. Aroney N. (2008). Four Reasons for an Upper House: Representative Democracy, Public Deliber- ation, Legislative Outputs and Executive Account- ability, Adelaide Law Review, vol. 29, </w:t>
      </w:r>
      <w:r>
        <w:t>рр</w:t>
      </w:r>
      <w:r w:rsidRPr="006A4DA9">
        <w:rPr>
          <w:lang w:val="en-US"/>
        </w:rPr>
        <w:t>. 205–246.</w:t>
      </w:r>
    </w:p>
    <w:p w:rsidR="006A4DA9" w:rsidRPr="006A4DA9" w:rsidRDefault="006A4DA9" w:rsidP="006A4DA9">
      <w:pPr>
        <w:rPr>
          <w:lang w:val="en-US"/>
        </w:rPr>
      </w:pPr>
    </w:p>
    <w:p w:rsidR="006A4DA9" w:rsidRPr="006A4DA9" w:rsidRDefault="006A4DA9" w:rsidP="006A4DA9">
      <w:pPr>
        <w:rPr>
          <w:lang w:val="en-US"/>
        </w:rPr>
      </w:pPr>
      <w:r w:rsidRPr="006A4DA9">
        <w:rPr>
          <w:lang w:val="en-US"/>
        </w:rPr>
        <w:t xml:space="preserve">8. Patterson S.C., Mughan </w:t>
      </w:r>
      <w:r>
        <w:t>А</w:t>
      </w:r>
      <w:r w:rsidRPr="006A4DA9">
        <w:rPr>
          <w:lang w:val="en-US"/>
        </w:rPr>
        <w:t>.</w:t>
      </w:r>
      <w:r>
        <w:t>С</w:t>
      </w:r>
      <w:r w:rsidRPr="006A4DA9">
        <w:rPr>
          <w:lang w:val="en-US"/>
        </w:rPr>
        <w:t xml:space="preserve">. (2001). Funda- mentals of Institutional Design: The functions and powers of Parliamentary Second Chambers, The Journal of legislative Studies, vol. 7, no. 1, </w:t>
      </w:r>
      <w:r>
        <w:t>рр</w:t>
      </w:r>
      <w:r w:rsidRPr="006A4DA9">
        <w:rPr>
          <w:lang w:val="en-US"/>
        </w:rPr>
        <w:t>. 39–60. DOI: 10.1080/714003851.</w:t>
      </w:r>
    </w:p>
    <w:p w:rsidR="006A4DA9" w:rsidRPr="006A4DA9" w:rsidRDefault="006A4DA9" w:rsidP="006A4DA9">
      <w:pPr>
        <w:rPr>
          <w:lang w:val="en-US"/>
        </w:rPr>
      </w:pPr>
    </w:p>
    <w:p w:rsidR="006A4DA9" w:rsidRPr="006A4DA9" w:rsidRDefault="006A4DA9" w:rsidP="006A4DA9">
      <w:pPr>
        <w:rPr>
          <w:lang w:val="en-US"/>
        </w:rPr>
      </w:pPr>
      <w:r w:rsidRPr="006A4DA9">
        <w:rPr>
          <w:lang w:val="en-US"/>
        </w:rPr>
        <w:t xml:space="preserve">9. Riker W.H. (1992). The Justification of Bi- cameralism, International Political Science Review, no. 13, </w:t>
      </w:r>
      <w:r>
        <w:t>рр</w:t>
      </w:r>
      <w:r w:rsidRPr="006A4DA9">
        <w:rPr>
          <w:lang w:val="en-US"/>
        </w:rPr>
        <w:t>. 101–116. DOI: 10.1177/019251219201300107.</w:t>
      </w:r>
    </w:p>
    <w:p w:rsidR="006A4DA9" w:rsidRPr="006A4DA9" w:rsidRDefault="006A4DA9" w:rsidP="006A4DA9">
      <w:pPr>
        <w:rPr>
          <w:lang w:val="en-US"/>
        </w:rPr>
      </w:pPr>
    </w:p>
    <w:p w:rsidR="006A4DA9" w:rsidRPr="006A4DA9" w:rsidRDefault="006A4DA9" w:rsidP="006A4DA9">
      <w:pPr>
        <w:rPr>
          <w:lang w:val="en-US"/>
        </w:rPr>
      </w:pPr>
      <w:r w:rsidRPr="006A4DA9">
        <w:rPr>
          <w:lang w:val="en-US"/>
        </w:rPr>
        <w:t xml:space="preserve">10. Russell M. (2001). What are Second Cham- bers for? Parliamentary Affairs, vol. 54, no. 3, </w:t>
      </w:r>
      <w:r>
        <w:t>рр</w:t>
      </w:r>
      <w:r w:rsidRPr="006A4DA9">
        <w:rPr>
          <w:lang w:val="en-US"/>
        </w:rPr>
        <w:t>. 442–458. DOI: 10.1093/parlij/54.3.442.</w:t>
      </w:r>
    </w:p>
    <w:p w:rsidR="006A4DA9" w:rsidRPr="006A4DA9" w:rsidRDefault="006A4DA9" w:rsidP="006A4DA9">
      <w:pPr>
        <w:rPr>
          <w:lang w:val="en-US"/>
        </w:rPr>
      </w:pPr>
    </w:p>
    <w:p w:rsidR="006A4DA9" w:rsidRPr="006A4DA9" w:rsidRDefault="006A4DA9" w:rsidP="006A4DA9">
      <w:pPr>
        <w:rPr>
          <w:lang w:val="en-US"/>
        </w:rPr>
      </w:pPr>
      <w:r w:rsidRPr="006A4DA9">
        <w:rPr>
          <w:lang w:val="en-US"/>
        </w:rPr>
        <w:t xml:space="preserve">11. Myers A.S. (2018). The Failed Diffusion of the Unicameral State Legislature, 1934–1944, Amer- ican Political Development, vol. 32, no. 2, </w:t>
      </w:r>
      <w:r>
        <w:t>рр</w:t>
      </w:r>
      <w:r w:rsidRPr="006A4DA9">
        <w:rPr>
          <w:lang w:val="en-US"/>
        </w:rPr>
        <w:t>. 217–235. DOI: 10.1017/S0898588X18000135.</w:t>
      </w:r>
    </w:p>
    <w:p w:rsidR="006A4DA9" w:rsidRPr="006A4DA9" w:rsidRDefault="006A4DA9" w:rsidP="006A4DA9">
      <w:pPr>
        <w:rPr>
          <w:lang w:val="en-US"/>
        </w:rPr>
      </w:pPr>
    </w:p>
    <w:p w:rsidR="006A4DA9" w:rsidRPr="006A4DA9" w:rsidRDefault="006A4DA9" w:rsidP="006A4DA9">
      <w:pPr>
        <w:rPr>
          <w:lang w:val="en-US"/>
        </w:rPr>
      </w:pPr>
      <w:r w:rsidRPr="006A4DA9">
        <w:rPr>
          <w:lang w:val="en-US"/>
        </w:rPr>
        <w:t>12. Avtonomov A.S. (2000). Regional parlia- ments in modern Russia. Moscow: Moscow Public Scientific Fund. 88 p.</w:t>
      </w:r>
    </w:p>
    <w:p w:rsidR="006A4DA9" w:rsidRPr="006A4DA9" w:rsidRDefault="006A4DA9" w:rsidP="006A4DA9">
      <w:pPr>
        <w:rPr>
          <w:lang w:val="en-US"/>
        </w:rPr>
      </w:pPr>
    </w:p>
    <w:p w:rsidR="006A4DA9" w:rsidRPr="006A4DA9" w:rsidRDefault="006A4DA9" w:rsidP="006A4DA9">
      <w:pPr>
        <w:rPr>
          <w:lang w:val="en-US"/>
        </w:rPr>
      </w:pPr>
      <w:r w:rsidRPr="006A4DA9">
        <w:rPr>
          <w:lang w:val="en-US"/>
        </w:rPr>
        <w:t>13. Zaslavsky S.E. (2000). Russian bicameralism in the regional dimension, Moscow University Bul- letin. Series 12. Political Science, no. 3, pp. 37–52.</w:t>
      </w:r>
    </w:p>
    <w:p w:rsidR="006A4DA9" w:rsidRPr="006A4DA9" w:rsidRDefault="006A4DA9" w:rsidP="006A4DA9">
      <w:pPr>
        <w:rPr>
          <w:lang w:val="en-US"/>
        </w:rPr>
      </w:pPr>
    </w:p>
    <w:p w:rsidR="006A4DA9" w:rsidRPr="006A4DA9" w:rsidRDefault="006A4DA9" w:rsidP="006A4DA9">
      <w:pPr>
        <w:rPr>
          <w:lang w:val="en-US"/>
        </w:rPr>
      </w:pPr>
      <w:r w:rsidRPr="006A4DA9">
        <w:rPr>
          <w:lang w:val="en-US"/>
        </w:rPr>
        <w:t xml:space="preserve">14. Gerring J. (2004). What Is a Case Study and What Is It Good for? American Political Sci- ence Review, vol. 98, no. 2, </w:t>
      </w:r>
      <w:r>
        <w:t>рр</w:t>
      </w:r>
      <w:r w:rsidRPr="006A4DA9">
        <w:rPr>
          <w:lang w:val="en-US"/>
        </w:rPr>
        <w:t>. 341–354. DOI: 10.1017/S0003055404001182.</w:t>
      </w:r>
    </w:p>
    <w:p w:rsidR="006A4DA9" w:rsidRPr="006A4DA9" w:rsidRDefault="006A4DA9" w:rsidP="006A4DA9">
      <w:pPr>
        <w:rPr>
          <w:lang w:val="en-US"/>
        </w:rPr>
      </w:pPr>
    </w:p>
    <w:p w:rsidR="006A4DA9" w:rsidRPr="006A4DA9" w:rsidRDefault="006A4DA9" w:rsidP="006A4DA9">
      <w:pPr>
        <w:rPr>
          <w:lang w:val="en-US"/>
        </w:rPr>
      </w:pPr>
      <w:r w:rsidRPr="006A4DA9">
        <w:rPr>
          <w:lang w:val="en-US"/>
        </w:rPr>
        <w:t xml:space="preserve">15. Blatter J., Haverland M. (2012). Designing Case Studies: Explanatory Approaches in Small-N Research. Houndmills, Basingstoke, Hampshire; New York, NY: Palgrave Macmillan. 262 </w:t>
      </w:r>
      <w:r>
        <w:t>р</w:t>
      </w:r>
      <w:r w:rsidRPr="006A4DA9">
        <w:rPr>
          <w:lang w:val="en-US"/>
        </w:rPr>
        <w:t>.</w:t>
      </w:r>
    </w:p>
    <w:p w:rsidR="006A4DA9" w:rsidRPr="006A4DA9" w:rsidRDefault="006A4DA9" w:rsidP="006A4DA9">
      <w:pPr>
        <w:rPr>
          <w:lang w:val="en-US"/>
        </w:rPr>
      </w:pPr>
    </w:p>
    <w:p w:rsidR="006A4DA9" w:rsidRPr="006A4DA9" w:rsidRDefault="006A4DA9" w:rsidP="006A4DA9">
      <w:pPr>
        <w:rPr>
          <w:lang w:val="en-US"/>
        </w:rPr>
      </w:pPr>
      <w:r w:rsidRPr="006A4DA9">
        <w:rPr>
          <w:lang w:val="en-US"/>
        </w:rPr>
        <w:lastRenderedPageBreak/>
        <w:t xml:space="preserve">16. Blatter J., Blume T. (2008). In Search of Co- variance, Causal Mechanisms or Congruence? To- wards a Plural Understanding of Case Studies, Swiss Political Science Review, vol. 14, no. 2, </w:t>
      </w:r>
      <w:r>
        <w:t>рр</w:t>
      </w:r>
      <w:r w:rsidRPr="006A4DA9">
        <w:rPr>
          <w:lang w:val="en-US"/>
        </w:rPr>
        <w:t>. 315–356. DOI: 10.1002/j.1662-6370.2008.tb00105.x.</w:t>
      </w:r>
    </w:p>
    <w:p w:rsidR="006A4DA9" w:rsidRPr="006A4DA9" w:rsidRDefault="006A4DA9" w:rsidP="006A4DA9">
      <w:pPr>
        <w:rPr>
          <w:lang w:val="en-US"/>
        </w:rPr>
      </w:pPr>
    </w:p>
    <w:p w:rsidR="006A4DA9" w:rsidRPr="006A4DA9" w:rsidRDefault="006A4DA9" w:rsidP="006A4DA9">
      <w:pPr>
        <w:rPr>
          <w:lang w:val="en-US"/>
        </w:rPr>
      </w:pPr>
      <w:r w:rsidRPr="006A4DA9">
        <w:rPr>
          <w:lang w:val="en-US"/>
        </w:rPr>
        <w:t xml:space="preserve">17. George A.L., Bennett A. (2005). Case Stud- ies and Theory Development in the Social Sciences. Cambridge. MA: MIT Press. 331 </w:t>
      </w:r>
      <w:r>
        <w:t>р</w:t>
      </w:r>
      <w:r w:rsidRPr="006A4DA9">
        <w:rPr>
          <w:lang w:val="en-US"/>
        </w:rPr>
        <w:t>.</w:t>
      </w:r>
    </w:p>
    <w:p w:rsidR="006A4DA9" w:rsidRPr="006A4DA9" w:rsidRDefault="006A4DA9" w:rsidP="006A4DA9">
      <w:pPr>
        <w:rPr>
          <w:lang w:val="en-US"/>
        </w:rPr>
      </w:pPr>
    </w:p>
    <w:p w:rsidR="006A4DA9" w:rsidRPr="006A4DA9" w:rsidRDefault="006A4DA9" w:rsidP="006A4DA9">
      <w:pPr>
        <w:rPr>
          <w:lang w:val="en-US"/>
        </w:rPr>
      </w:pPr>
      <w:r w:rsidRPr="006A4DA9">
        <w:rPr>
          <w:lang w:val="en-US"/>
        </w:rPr>
        <w:t xml:space="preserve">18. Beach D., Pedersen R.B. (2016). Causal Case Study Methods: Foundations and Guidelines for Comparing, Matching, and Tracing. University of Michigan Press. 416 </w:t>
      </w:r>
      <w:r>
        <w:t>р</w:t>
      </w:r>
      <w:r w:rsidRPr="006A4DA9">
        <w:rPr>
          <w:lang w:val="en-US"/>
        </w:rPr>
        <w:t>.</w:t>
      </w:r>
    </w:p>
    <w:p w:rsidR="006A4DA9" w:rsidRPr="006A4DA9" w:rsidRDefault="006A4DA9" w:rsidP="006A4DA9">
      <w:pPr>
        <w:rPr>
          <w:lang w:val="en-US"/>
        </w:rPr>
      </w:pPr>
    </w:p>
    <w:p w:rsidR="006A4DA9" w:rsidRPr="006A4DA9" w:rsidRDefault="006A4DA9" w:rsidP="006A4DA9">
      <w:pPr>
        <w:rPr>
          <w:lang w:val="en-US"/>
        </w:rPr>
      </w:pPr>
      <w:r w:rsidRPr="006A4DA9">
        <w:rPr>
          <w:lang w:val="en-US"/>
        </w:rPr>
        <w:t xml:space="preserve">19. Wauters B., Beach D. (2018). Process trac- ing and congruence analysis to support theory based impact evaluation? Evaluation, vol. 24, no. 3, </w:t>
      </w:r>
      <w:r>
        <w:t>рр</w:t>
      </w:r>
      <w:r w:rsidRPr="006A4DA9">
        <w:rPr>
          <w:lang w:val="en-US"/>
        </w:rPr>
        <w:t>. 284–305. DOI: 10.1177/1356389018786081.</w:t>
      </w:r>
    </w:p>
    <w:p w:rsidR="006A4DA9" w:rsidRPr="006A4DA9" w:rsidRDefault="006A4DA9" w:rsidP="006A4DA9">
      <w:pPr>
        <w:rPr>
          <w:lang w:val="en-US"/>
        </w:rPr>
      </w:pPr>
    </w:p>
    <w:p w:rsidR="006A4DA9" w:rsidRPr="006A4DA9" w:rsidRDefault="006A4DA9" w:rsidP="006A4DA9">
      <w:pPr>
        <w:rPr>
          <w:lang w:val="en-US"/>
        </w:rPr>
      </w:pPr>
      <w:r w:rsidRPr="006A4DA9">
        <w:rPr>
          <w:lang w:val="en-US"/>
        </w:rPr>
        <w:t xml:space="preserve">20. Moller J. (2017). A framework for congru- ence analysis in comparative historical analysis of political change, Quality &amp; Quantity, vol. 51, no. 5, </w:t>
      </w:r>
      <w:r>
        <w:t>рр</w:t>
      </w:r>
      <w:r w:rsidRPr="006A4DA9">
        <w:rPr>
          <w:lang w:val="en-US"/>
        </w:rPr>
        <w:t>. 2337–2355. DOI: 10.1007/s11135-016-0391-5.</w:t>
      </w:r>
    </w:p>
    <w:p w:rsidR="006A4DA9" w:rsidRPr="006A4DA9" w:rsidRDefault="006A4DA9" w:rsidP="006A4DA9">
      <w:pPr>
        <w:rPr>
          <w:lang w:val="en-US"/>
        </w:rPr>
      </w:pPr>
    </w:p>
    <w:p w:rsidR="006A4DA9" w:rsidRDefault="006A4DA9" w:rsidP="006A4DA9">
      <w:r w:rsidRPr="006A4DA9">
        <w:rPr>
          <w:lang w:val="en-US"/>
        </w:rPr>
        <w:t xml:space="preserve">21. Yin R.K. (2018). Case Study Research and Applications: Design and Methods. </w:t>
      </w:r>
      <w:r>
        <w:t>Sixth Edition. Sage Publications. 240 р.</w:t>
      </w:r>
    </w:p>
    <w:p w:rsidR="006A4DA9" w:rsidRDefault="006A4DA9" w:rsidP="006A4DA9"/>
    <w:p w:rsidR="006A4DA9" w:rsidRDefault="006A4DA9" w:rsidP="006A4DA9">
      <w:r>
        <w:t>22. Allison G. (2011). Quintessence of the so- lution: on the example of the Caribbean crisis of 1962. Moscow: URSS; Librokom. 526 p.</w:t>
      </w:r>
    </w:p>
    <w:p w:rsidR="006A4DA9" w:rsidRDefault="006A4DA9" w:rsidP="006A4DA9"/>
    <w:p w:rsidR="006A4DA9" w:rsidRDefault="006A4DA9" w:rsidP="006A4DA9">
      <w:r>
        <w:t>23. Schimmelfennig F. (2003). The EU, NATO and the Integration of Europe: Rules and Rhetoric. Cambridge: Cambridge University Press. 323 р.</w:t>
      </w:r>
    </w:p>
    <w:p w:rsidR="006A4DA9" w:rsidRDefault="006A4DA9" w:rsidP="006A4DA9"/>
    <w:p w:rsidR="006A4DA9" w:rsidRDefault="006A4DA9" w:rsidP="006A4DA9">
      <w:r>
        <w:t>24. March J.G., Olsen J.P. (1984). The New In- stitutionalism: Organizational Factors in Political Life, American Political Science Review, vol. 78, no. 3, рр. 734–749.</w:t>
      </w:r>
    </w:p>
    <w:p w:rsidR="006A4DA9" w:rsidRDefault="006A4DA9" w:rsidP="006A4DA9"/>
    <w:p w:rsidR="006A4DA9" w:rsidRDefault="006A4DA9" w:rsidP="006A4DA9">
      <w:r>
        <w:t>25. Hall P.A., Taylor R. (1996). Political Science and the Three New Institutionalisms, Political stud- ies, vol. 44, no. 5, рр. 936–957. DOI: 10.1111/j.1467- 9248.1996.tb00343.x.</w:t>
      </w:r>
    </w:p>
    <w:p w:rsidR="006A4DA9" w:rsidRDefault="006A4DA9" w:rsidP="006A4DA9"/>
    <w:p w:rsidR="006A4DA9" w:rsidRDefault="006A4DA9" w:rsidP="006A4DA9">
      <w:r>
        <w:t>26. Peters B.G. (1999). Political institutions: yes- terday and today. In: Political Science: New direc- tions. Moscow: Veche. Pp. 218–231.</w:t>
      </w:r>
    </w:p>
    <w:p w:rsidR="006A4DA9" w:rsidRDefault="006A4DA9" w:rsidP="006A4DA9"/>
    <w:p w:rsidR="006A4DA9" w:rsidRDefault="006A4DA9" w:rsidP="006A4DA9">
      <w:r>
        <w:t>27. Tambovtsev V. (1997). Theoretical issues of in- stitutional design, Voprosy Ekonomiki, no. 3, pp. 82–94.</w:t>
      </w:r>
    </w:p>
    <w:p w:rsidR="006A4DA9" w:rsidRDefault="006A4DA9" w:rsidP="006A4DA9"/>
    <w:p w:rsidR="006A4DA9" w:rsidRDefault="006A4DA9" w:rsidP="006A4DA9">
      <w:r>
        <w:t>28. Brunner K. (1993). The idea of a person and the concept of society: two approaches to un- derstanding society, THESIS, vol. 1. no. 3, pp. 55–58.</w:t>
      </w:r>
    </w:p>
    <w:p w:rsidR="006A4DA9" w:rsidRDefault="006A4DA9" w:rsidP="006A4DA9"/>
    <w:p w:rsidR="006A4DA9" w:rsidRDefault="006A4DA9" w:rsidP="006A4DA9">
      <w:r>
        <w:t>29. Errow K. (2004). Collective choice and in- dividual values. Moscow: Publishing House of the HSE. 201 p.</w:t>
      </w:r>
    </w:p>
    <w:p w:rsidR="006A4DA9" w:rsidRDefault="006A4DA9" w:rsidP="006A4DA9"/>
    <w:p w:rsidR="006A4DA9" w:rsidRDefault="006A4DA9" w:rsidP="006A4DA9">
      <w:r>
        <w:t>30. Williamson O.I. (1996). Economic institu- tions of capitalism: firms, markets, “attributed” con- tracting. Saint-Petersburg: Lenizdat. 260 p.</w:t>
      </w:r>
    </w:p>
    <w:p w:rsidR="006A4DA9" w:rsidRDefault="006A4DA9" w:rsidP="006A4DA9"/>
    <w:p w:rsidR="006A4DA9" w:rsidRDefault="006A4DA9" w:rsidP="006A4DA9">
      <w:r>
        <w:lastRenderedPageBreak/>
        <w:t>31. Thelen K. (2003). How institutions evolve: Insights from comparative historical analysis. In: Comparative historical analysis in the social sciences. Cambridge: Cambridge University Press. Pр. 208–240.</w:t>
      </w:r>
    </w:p>
    <w:p w:rsidR="006A4DA9" w:rsidRDefault="006A4DA9" w:rsidP="006A4DA9"/>
    <w:p w:rsidR="006A4DA9" w:rsidRDefault="006A4DA9" w:rsidP="006A4DA9">
      <w:r>
        <w:t>32. Pierson Р. (2004). Politics In Time: History, Institutions, and Social Analysis. Princeton: Prince- ton University Press. 108 р.</w:t>
      </w:r>
    </w:p>
    <w:p w:rsidR="006A4DA9" w:rsidRDefault="006A4DA9" w:rsidP="006A4DA9"/>
    <w:p w:rsidR="006A4DA9" w:rsidRDefault="006A4DA9" w:rsidP="006A4DA9">
      <w:r>
        <w:t>33. Tsebelis G. (2011). Veto Players: How Po- litical Institutions Work. Princeton: Princeton Uni- versity Press. 317 р. DOI: 10.1515/9781400831456.</w:t>
      </w:r>
    </w:p>
    <w:p w:rsidR="006A4DA9" w:rsidRDefault="006A4DA9" w:rsidP="006A4DA9"/>
    <w:p w:rsidR="006A4DA9" w:rsidRDefault="006A4DA9" w:rsidP="006A4DA9">
      <w:r>
        <w:t>34. Selznick P. (1948). Foundations of the The- ory of Organization, American Sociological Review, vol. 13, no. 1, рр. 25–35.</w:t>
      </w:r>
    </w:p>
    <w:p w:rsidR="006A4DA9" w:rsidRDefault="006A4DA9" w:rsidP="006A4DA9"/>
    <w:p w:rsidR="006A4DA9" w:rsidRDefault="006A4DA9" w:rsidP="006A4DA9">
      <w:r>
        <w:t>35. Thoenig J.-C. (2003). Institutional Theories and Public Institutions: Traditions and Appropri- ateness. In: Handbook of Public Administration. London: Sage. Pр. 127–148.</w:t>
      </w:r>
    </w:p>
    <w:p w:rsidR="006A4DA9" w:rsidRDefault="006A4DA9" w:rsidP="006A4DA9"/>
    <w:p w:rsidR="006A4DA9" w:rsidRDefault="006A4DA9" w:rsidP="006A4DA9">
      <w:r>
        <w:t>36. Farrell H. (2018). The Shared Challenges of Institutional Theories: Rational Choice, Histor- ical Institutionalism, and Sociological Institution- alism. In: Knowledge and Space. Vol. 13. Pр. 23–44. DOI: 10.1007/978-3-319-75328-7_2.</w:t>
      </w:r>
    </w:p>
    <w:p w:rsidR="006A4DA9" w:rsidRDefault="006A4DA9" w:rsidP="006A4DA9"/>
    <w:p w:rsidR="006A4DA9" w:rsidRDefault="006A4DA9" w:rsidP="006A4DA9">
      <w:r>
        <w:t>37. Starr H. (1991). Democratic Dominoes: Diffusion Approaches to the Spread of Democracy in the International System, The Journal of Conflict Resolution, vol. 35, no. 2, рр. 356–381. DOI: 10.1177/0022002791035002010.</w:t>
      </w:r>
    </w:p>
    <w:p w:rsidR="006A4DA9" w:rsidRDefault="006A4DA9" w:rsidP="006A4DA9"/>
    <w:p w:rsidR="006A4DA9" w:rsidRDefault="006A4DA9" w:rsidP="006A4DA9">
      <w:r>
        <w:t>38. Tard G. (2011). Laws of imitation. Moscow: Academicheskiy proekt. 260 p.</w:t>
      </w:r>
    </w:p>
    <w:p w:rsidR="006A4DA9" w:rsidRDefault="006A4DA9" w:rsidP="006A4DA9"/>
    <w:p w:rsidR="006A4DA9" w:rsidRDefault="006A4DA9" w:rsidP="006A4DA9">
      <w:r>
        <w:t>39. Rogers E.M. (1983). Diffusion of innova- tions. New York: Free Press; London: Collier Mac- millan. 453 р.</w:t>
      </w:r>
    </w:p>
    <w:p w:rsidR="006A4DA9" w:rsidRDefault="006A4DA9" w:rsidP="006A4DA9"/>
    <w:p w:rsidR="006A4DA9" w:rsidRDefault="006A4DA9" w:rsidP="006A4DA9">
      <w:r>
        <w:t>40. Beissinger M.R. (2007). Structure and Ex- ample in Modular Political Phenomena: The Diffu- sion of Bulldozer/Rose/Orange/Tulip Revolutions, Perspectives on Politics, vol. 5, no. 2, рр. 259–276. DOI: 10.1017/S1537592707070776.</w:t>
      </w:r>
    </w:p>
    <w:p w:rsidR="006A4DA9" w:rsidRDefault="006A4DA9" w:rsidP="006A4DA9"/>
    <w:p w:rsidR="006A4DA9" w:rsidRDefault="006A4DA9" w:rsidP="006A4DA9">
      <w:r>
        <w:t>41. Midlarsky M.I. (1975). On war. New York: Free Press. 229 р.</w:t>
      </w:r>
    </w:p>
    <w:p w:rsidR="006A4DA9" w:rsidRDefault="006A4DA9" w:rsidP="006A4DA9"/>
    <w:p w:rsidR="006A4DA9" w:rsidRDefault="006A4DA9" w:rsidP="006A4DA9">
      <w:r>
        <w:t>42. Elkins Z., Simmons B. (2005). On Waves, Clusters, and Diffusion: A Conceptual Framework, The Annals of the American Academy of Political and Social Science, vol. 598, no. 1, рр. 33–51. DOI: 10.1177/0002716204272516.</w:t>
      </w:r>
    </w:p>
    <w:p w:rsidR="006A4DA9" w:rsidRDefault="006A4DA9" w:rsidP="006A4DA9"/>
    <w:p w:rsidR="006A4DA9" w:rsidRDefault="006A4DA9" w:rsidP="006A4DA9">
      <w:r>
        <w:t>43. DiMaggio P.J., Powell W.W. (1983). The Iron Cage Revisited: Institutional Isomorphism and Collective Rationality in Organizational Fields, Amer- ican Sociological Review, vol. 48, no. 2, рр. 147–160. DOI: 10.17323/1726-3247-2010-1-34-56.</w:t>
      </w:r>
    </w:p>
    <w:p w:rsidR="006A4DA9" w:rsidRDefault="006A4DA9" w:rsidP="006A4DA9"/>
    <w:p w:rsidR="006A4DA9" w:rsidRDefault="006A4DA9" w:rsidP="006A4DA9">
      <w:r>
        <w:t>44. Strang D., Meyer J.W. (1993). Institutional Conditions for Diffusion, Theory and Society, vol. 22, рр. 487–511. DOI: 10.1007/BF00993595.</w:t>
      </w:r>
    </w:p>
    <w:p w:rsidR="006A4DA9" w:rsidRDefault="006A4DA9" w:rsidP="006A4DA9"/>
    <w:p w:rsidR="006A4DA9" w:rsidRDefault="006A4DA9" w:rsidP="006A4DA9">
      <w:r>
        <w:t>45. Kapoguzov E.A., Levin S.N., Sablin K.S. (2019). What is meant by the import of institutions, Russian Journal of Economic Theory, no. 3, pp. 480–</w:t>
      </w:r>
    </w:p>
    <w:p w:rsidR="006A4DA9" w:rsidRDefault="006A4DA9" w:rsidP="006A4DA9"/>
    <w:p w:rsidR="006A4DA9" w:rsidRDefault="006A4DA9" w:rsidP="006A4DA9">
      <w:r>
        <w:lastRenderedPageBreak/>
        <w:t>487. DOI: 10.31063/2073-6517/2019.16-3.15. EDN: NBFPBG.</w:t>
      </w:r>
    </w:p>
    <w:p w:rsidR="006A4DA9" w:rsidRDefault="006A4DA9" w:rsidP="006A4DA9"/>
    <w:p w:rsidR="006A4DA9" w:rsidRDefault="006A4DA9" w:rsidP="006A4DA9">
      <w:r>
        <w:t>46. Polterovich V.M. (2001). Transplantation of economic institutions, Economics of Contempo- rary Russia, no. 3, pp. 24–50. EDN: IBAKRX.</w:t>
      </w:r>
    </w:p>
    <w:p w:rsidR="006A4DA9" w:rsidRDefault="006A4DA9" w:rsidP="006A4DA9"/>
    <w:p w:rsidR="006A4DA9" w:rsidRDefault="006A4DA9" w:rsidP="006A4DA9">
      <w:r>
        <w:t>47. Rozhdestvenskaya I.A., Tambovtsev V.L. (2019). Import of institutions and diffusion of ideas, Russian Journal of Economic Theory, vol. 16, no. 3,</w:t>
      </w:r>
    </w:p>
    <w:p w:rsidR="006A4DA9" w:rsidRDefault="006A4DA9" w:rsidP="006A4DA9"/>
    <w:p w:rsidR="006A4DA9" w:rsidRDefault="006A4DA9" w:rsidP="006A4DA9">
      <w:r>
        <w:t>pp. 468–479. DOI: 10.31063/2073-6517/2019.16-3.14. EDN: WLWUPR.</w:t>
      </w:r>
    </w:p>
    <w:p w:rsidR="006A4DA9" w:rsidRDefault="006A4DA9" w:rsidP="006A4DA9"/>
    <w:p w:rsidR="006A4DA9" w:rsidRDefault="006A4DA9" w:rsidP="006A4DA9">
      <w:r>
        <w:t>48. Oleinik A.N. (2002). Institutional economy. Moscow: INFRA-M. 416 p.</w:t>
      </w:r>
    </w:p>
    <w:p w:rsidR="006A4DA9" w:rsidRDefault="006A4DA9" w:rsidP="006A4DA9"/>
    <w:p w:rsidR="006A4DA9" w:rsidRDefault="006A4DA9" w:rsidP="006A4DA9">
      <w:r>
        <w:t>49. Thelen K. (1999). Historical Institutional- ism in comparative politics, Annual Review of Po- litical Science, vol. 2, no. 1, рр. 369–404. DOI: 10.1146/annurev.polisci.2.1.369.</w:t>
      </w:r>
    </w:p>
    <w:p w:rsidR="006A4DA9" w:rsidRDefault="006A4DA9" w:rsidP="006A4DA9"/>
    <w:p w:rsidR="006A4DA9" w:rsidRDefault="006A4DA9" w:rsidP="006A4DA9">
      <w:r>
        <w:t>50. David P.A. (2007). Path Dependence: A Foundational Concept for Historical Social Sci- ence, Cliometrica, vol. 1, no. 2, рр. 91–114. DOI: 10.1007/s11698-006-0005-x.</w:t>
      </w:r>
    </w:p>
    <w:p w:rsidR="006A4DA9" w:rsidRDefault="006A4DA9" w:rsidP="006A4DA9"/>
    <w:p w:rsidR="006A4DA9" w:rsidRDefault="006A4DA9" w:rsidP="006A4DA9">
      <w:r>
        <w:t>51. David P. (2007). CLIO and the economic theory of QWERTY. In: Origins: from the experience of studying the economy as a structure and as a pro- cess. Moscow: Publishing House of HSE. Pp. 139–150.</w:t>
      </w:r>
    </w:p>
    <w:p w:rsidR="006A4DA9" w:rsidRDefault="006A4DA9" w:rsidP="006A4DA9"/>
    <w:p w:rsidR="006A4DA9" w:rsidRDefault="006A4DA9" w:rsidP="006A4DA9">
      <w:r>
        <w:t>52. Sewell W. H. Jr. (1996). Three Temporalities: Toward an Eventful Sociology, The Historic turn in the Human Sciences. Ann Arbor: University of Michi- gan Press. Pр. 245–280.</w:t>
      </w:r>
    </w:p>
    <w:p w:rsidR="006A4DA9" w:rsidRDefault="006A4DA9" w:rsidP="006A4DA9"/>
    <w:p w:rsidR="006A4DA9" w:rsidRDefault="006A4DA9" w:rsidP="006A4DA9">
      <w:r>
        <w:t>53. Levi M. (1997). A Model, a Method, and a Map: Rational Choice in Comparative and Histor- ical Analysis. In: Comparative Politics: Rationality, Culture, and Structure. Cambridge: Cambridge Uni- versity Press. Pр. 19–41.</w:t>
      </w:r>
    </w:p>
    <w:p w:rsidR="006A4DA9" w:rsidRDefault="006A4DA9" w:rsidP="006A4DA9"/>
    <w:p w:rsidR="006A4DA9" w:rsidRDefault="006A4DA9" w:rsidP="006A4DA9">
      <w:r>
        <w:t>54. Mahoney J. (2000). Path Dependence in His- torical Sociology, Theory and Society, vol. 29, no. 4, рр. 507–548. DOI: 10.1023/A:1007113830879.</w:t>
      </w:r>
    </w:p>
    <w:p w:rsidR="006A4DA9" w:rsidRDefault="006A4DA9" w:rsidP="006A4DA9"/>
    <w:p w:rsidR="006A4DA9" w:rsidRDefault="006A4DA9" w:rsidP="006A4DA9">
      <w:r>
        <w:t>55. Thelen K. (2004). How Institutions Evolve: The Political Economy of Skills in Germany, Britain, the United States, and Japan. Cambridge: Cambridge University Press. 333 р. DOI: 10.1017/ CBO9780511790997.</w:t>
      </w:r>
    </w:p>
    <w:p w:rsidR="006A4DA9" w:rsidRDefault="006A4DA9" w:rsidP="006A4DA9"/>
    <w:p w:rsidR="006A4DA9" w:rsidRDefault="006A4DA9" w:rsidP="006A4DA9">
      <w:r>
        <w:t>56. Capoccia G., Kelemen R.D. (2007). The Study of Critical Junctures: Theory, Narrative, and Counterfactuals in Historical Institutionalism, World Politics, vol. 59, no. 3, рр. 341–369. DOI: 10.1017/S0043887100020852.</w:t>
      </w:r>
    </w:p>
    <w:p w:rsidR="006A4DA9" w:rsidRDefault="006A4DA9" w:rsidP="006A4DA9"/>
    <w:p w:rsidR="006A4DA9" w:rsidRDefault="006A4DA9" w:rsidP="006A4DA9">
      <w:r>
        <w:t>57. Taleb N. (2011). Black Swan. Under the sign of unpredictability. Moscow: KoLibri. 528 p.</w:t>
      </w:r>
    </w:p>
    <w:p w:rsidR="006A4DA9" w:rsidRDefault="006A4DA9" w:rsidP="006A4DA9"/>
    <w:p w:rsidR="006A4DA9" w:rsidRDefault="006A4DA9" w:rsidP="006A4DA9">
      <w:r>
        <w:t>58. Herron M.C., Quinn K.M. (2016). A Care- ful Look at Modern Case Selection Methods, Soci- ological Methods &amp; Research, vol. 45, no. 3, рр. 458–492. DOI: 10.1177/0049124114547053.</w:t>
      </w:r>
    </w:p>
    <w:p w:rsidR="006A4DA9" w:rsidRDefault="006A4DA9" w:rsidP="006A4DA9"/>
    <w:p w:rsidR="006A4DA9" w:rsidRDefault="006A4DA9" w:rsidP="006A4DA9">
      <w:r>
        <w:t>59. Gerring J., Cojocaru L. (2016). Selecting cases for intensive analysis: A diversity of goals and methods, Sociological Methods &amp; Research, vol. 45, no. 3, рр. 392–423. DOI: 10.1177/0049124116631692.</w:t>
      </w:r>
    </w:p>
    <w:p w:rsidR="006A4DA9" w:rsidRDefault="006A4DA9" w:rsidP="006A4DA9"/>
    <w:p w:rsidR="006A4DA9" w:rsidRDefault="006A4DA9" w:rsidP="006A4DA9">
      <w:r>
        <w:lastRenderedPageBreak/>
        <w:t>60. Seawright J., Gerring J. (2006). Case Selec- tion Techniques in Case Study Research: A Menu of Qualitative and Quantitative Options, Political Research Quarterly, vol. 61, no. 2, рр. 294–308. DOI: 10.1177/1065912907313077.</w:t>
      </w:r>
    </w:p>
    <w:p w:rsidR="006A4DA9" w:rsidRDefault="006A4DA9" w:rsidP="006A4DA9"/>
    <w:p w:rsidR="006A4DA9" w:rsidRDefault="006A4DA9" w:rsidP="006A4DA9">
      <w:r>
        <w:t>61. Shakir M. (2002). The selection of case stud- ies: Strategies and their applications to IS imple- mentation cases studies, Research Letters in the In- formationand Mathematical Sciences, no. 3, рр. 191–198.</w:t>
      </w:r>
    </w:p>
    <w:p w:rsidR="006A4DA9" w:rsidRDefault="006A4DA9" w:rsidP="006A4DA9"/>
    <w:p w:rsidR="006A4DA9" w:rsidRDefault="006A4DA9" w:rsidP="006A4DA9">
      <w:r>
        <w:t>62. Yakovlev N.N. (ed.) (1994). Federalist. Po- litical essays by A. Hamilton, J. Madison and J. Jay. Moscow: Publishinggroup“Progress”–“Literal”. 592 p.</w:t>
      </w:r>
    </w:p>
    <w:p w:rsidR="006A4DA9" w:rsidRDefault="006A4DA9" w:rsidP="006A4DA9"/>
    <w:p w:rsidR="006A4DA9" w:rsidRDefault="006A4DA9" w:rsidP="006A4DA9">
      <w:r>
        <w:t>63. Ivanchenko A.V., Lyubarev A.E. (2006). Rus- sian elections from perestroika to sovereign democ- racy. Moscow: Aspect Press. 221 p.</w:t>
      </w:r>
    </w:p>
    <w:p w:rsidR="006A4DA9" w:rsidRDefault="006A4DA9" w:rsidP="006A4DA9"/>
    <w:p w:rsidR="006A4DA9" w:rsidRDefault="006A4DA9" w:rsidP="006A4DA9">
      <w:r>
        <w:t>64. Kynev A.V. (2020). Governors in Russia: be- tween elections and appointments. Moscow: Foun- dation “Liberal Mission”. 1030 p.</w:t>
      </w:r>
    </w:p>
    <w:p w:rsidR="006A4DA9" w:rsidRDefault="006A4DA9" w:rsidP="006A4DA9"/>
    <w:p w:rsidR="006A4DA9" w:rsidRDefault="006A4DA9" w:rsidP="006A4DA9">
      <w:r>
        <w:t>65. Levin A.Yu. (2007). Phenomenon. Strokes to the portrait of Eduard Rossel. Ekaterinburg : Cultural Information Bank. 317 p.</w:t>
      </w:r>
    </w:p>
    <w:p w:rsidR="006A4DA9" w:rsidRDefault="006A4DA9" w:rsidP="006A4DA9"/>
    <w:p w:rsidR="006A4DA9" w:rsidRDefault="006A4DA9" w:rsidP="006A4DA9">
      <w:r>
        <w:t>66. Rossel E.E. (2017). Publicly about per- sonal. Notes on the fields of my life. Moscow: In- ternational Demidov Fund. 287 p.</w:t>
      </w:r>
    </w:p>
    <w:p w:rsidR="00DA45C1" w:rsidRDefault="006A4DA9">
      <w:bookmarkStart w:id="0" w:name="_GoBack"/>
      <w:bookmarkEnd w:id="0"/>
    </w:p>
    <w:sectPr w:rsidR="00DA45C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DA9"/>
    <w:rsid w:val="00017B57"/>
    <w:rsid w:val="000706E4"/>
    <w:rsid w:val="00077F28"/>
    <w:rsid w:val="00275775"/>
    <w:rsid w:val="00422AC7"/>
    <w:rsid w:val="00520FDA"/>
    <w:rsid w:val="005A30F3"/>
    <w:rsid w:val="006A4DA9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D1387-2707-1D44-AB09-F096BB06B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4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1521</Words>
  <Characters>9279</Characters>
  <Application>Microsoft Office Word</Application>
  <DocSecurity>0</DocSecurity>
  <Lines>257</Lines>
  <Paragraphs>147</Paragraphs>
  <ScaleCrop>false</ScaleCrop>
  <Company/>
  <LinksUpToDate>false</LinksUpToDate>
  <CharactersWithSpaces>10653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2025-07-26T03:10:00Z</dcterms:created>
  <dcterms:modified xsi:type="dcterms:W3CDTF">2025-07-26T03:10:00Z</dcterms:modified>
</cp:coreProperties>
</file>