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46D1B">
      <w:r>
        <w:t>Список источников</w:t>
      </w: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1. Campion L. (1953). Second Chamber in Theory and Practice, Parliamentary Affairs, vol. 7, no. 1, </w:t>
      </w:r>
      <w:r>
        <w:t>рр</w:t>
      </w:r>
      <w:r w:rsidRPr="00246D1B">
        <w:rPr>
          <w:lang w:val="en-US"/>
        </w:rPr>
        <w:t>. 17–32.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2. Levmore S. (1992). Bicameralism: When are two Decisions better than One? International Review of Law and Economics, vol. 12, no. 2, </w:t>
      </w:r>
      <w:r>
        <w:t>рр</w:t>
      </w:r>
      <w:r w:rsidRPr="00246D1B">
        <w:rPr>
          <w:lang w:val="en-US"/>
        </w:rPr>
        <w:t>. 145–162.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3. Smith D.E. (2003). The Canadian Senate in Bicameral Perspective. Toronto: University of Toron- to Press. 263 </w:t>
      </w:r>
      <w:r>
        <w:t>р</w:t>
      </w:r>
      <w:r w:rsidRPr="00246D1B">
        <w:rPr>
          <w:lang w:val="en-US"/>
        </w:rPr>
        <w:t>. DOI: 10.3138/9781442680609.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>4. Uhr J. (2006). Bicameralism. In: The Oxford Handbook of Political Institutions. Oxford: Oxford University Press. P</w:t>
      </w:r>
      <w:r>
        <w:t>р</w:t>
      </w:r>
      <w:r w:rsidRPr="00246D1B">
        <w:rPr>
          <w:lang w:val="en-US"/>
        </w:rPr>
        <w:t>. 474–494.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5. Diermbier D., Feddersen T. (1998). Cohe- sion in legislatures and the vote of confidence pro- cedure, American Political Science Review, vol. 92, no. 3, </w:t>
      </w:r>
      <w:r>
        <w:t>рр</w:t>
      </w:r>
      <w:r w:rsidRPr="00246D1B">
        <w:rPr>
          <w:lang w:val="en-US"/>
        </w:rPr>
        <w:t>. 611–621. DOI: 10.2307/2585484.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6. Tsebelis G., Money J. (1997). Bicameralism. Cambridge: Cambridge University Press. 250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7. Aroney N. (2008). Four Reasons for an Upper House: Representative Democracy, Public Deliber- ation, Legislative Outputs and Executive Account- ability, Adelaide Law Review, vol. 29, </w:t>
      </w:r>
      <w:r>
        <w:t>рр</w:t>
      </w:r>
      <w:r w:rsidRPr="00246D1B">
        <w:rPr>
          <w:lang w:val="en-US"/>
        </w:rPr>
        <w:t>. 205–246.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8. Patterson S.C., Mughan </w:t>
      </w:r>
      <w:r>
        <w:t>А</w:t>
      </w:r>
      <w:r w:rsidRPr="00246D1B">
        <w:rPr>
          <w:lang w:val="en-US"/>
        </w:rPr>
        <w:t>.</w:t>
      </w:r>
      <w:r>
        <w:t>С</w:t>
      </w:r>
      <w:r w:rsidRPr="00246D1B">
        <w:rPr>
          <w:lang w:val="en-US"/>
        </w:rPr>
        <w:t xml:space="preserve">. (2001). Funda- mentals of Institutional Design: The functions and powers of Parliamentary Second Chambers, The Journal of legislative Studies, vol. 7, no. 1, </w:t>
      </w:r>
      <w:r>
        <w:t>рр</w:t>
      </w:r>
      <w:r w:rsidRPr="00246D1B">
        <w:rPr>
          <w:lang w:val="en-US"/>
        </w:rPr>
        <w:t>. 39–60. DOI: 10.1080/714003851.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9. Riker W.H. (1992). The Justification of Bicam- eralism, International Political Science Review, no. 13, </w:t>
      </w:r>
      <w:r>
        <w:t>рр</w:t>
      </w:r>
      <w:r w:rsidRPr="00246D1B">
        <w:rPr>
          <w:lang w:val="en-US"/>
        </w:rPr>
        <w:t>. 101–116. DOI: 10.1177/019251219201300107.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10. Russell M. (2001). What are Second Chambers for? Parliamentary Affairs, vol. 54, no. 3, </w:t>
      </w:r>
      <w:r>
        <w:t>рр</w:t>
      </w:r>
      <w:r w:rsidRPr="00246D1B">
        <w:rPr>
          <w:lang w:val="en-US"/>
        </w:rPr>
        <w:t>. 442–458. DOI: 10.1093/parlij/54.3.442.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11. Myers A.S. (2018). The Failed Diffusion of the Unicameral State Legislature, 1934–1944, American Political Development, vol. 32, no. 2, </w:t>
      </w:r>
      <w:r>
        <w:t>рр</w:t>
      </w:r>
      <w:r w:rsidRPr="00246D1B">
        <w:rPr>
          <w:lang w:val="en-US"/>
        </w:rPr>
        <w:t>. 217–</w:t>
      </w:r>
    </w:p>
    <w:p w:rsidR="00246D1B" w:rsidRDefault="00246D1B" w:rsidP="00246D1B">
      <w:r>
        <w:t>235. DOI: 10.1017/S0898588X18000135.</w:t>
      </w:r>
    </w:p>
    <w:p w:rsidR="00246D1B" w:rsidRDefault="00246D1B" w:rsidP="00246D1B"/>
    <w:p w:rsidR="00246D1B" w:rsidRDefault="00246D1B" w:rsidP="00246D1B">
      <w:r>
        <w:t>12. Автономов А.С. Региональные парламенты в современной России. М. : Московский общественный научный фонд, 2000. 88 с.</w:t>
      </w:r>
    </w:p>
    <w:p w:rsidR="00246D1B" w:rsidRDefault="00246D1B" w:rsidP="00246D1B"/>
    <w:p w:rsidR="00246D1B" w:rsidRPr="00246D1B" w:rsidRDefault="00246D1B" w:rsidP="00246D1B">
      <w:pPr>
        <w:rPr>
          <w:lang w:val="en-US"/>
        </w:rPr>
      </w:pPr>
      <w:r>
        <w:t>13. Заславский С.Е. Российский бикамерализм в региональном измерении // Вестник Московского университета. Серия</w:t>
      </w:r>
      <w:r w:rsidRPr="00246D1B">
        <w:rPr>
          <w:lang w:val="en-US"/>
        </w:rPr>
        <w:t xml:space="preserve"> 12: </w:t>
      </w:r>
      <w:r>
        <w:t>Политические</w:t>
      </w:r>
      <w:r w:rsidRPr="00246D1B">
        <w:rPr>
          <w:lang w:val="en-US"/>
        </w:rPr>
        <w:t xml:space="preserve"> </w:t>
      </w:r>
      <w:r>
        <w:t>науки</w:t>
      </w:r>
      <w:r w:rsidRPr="00246D1B">
        <w:rPr>
          <w:lang w:val="en-US"/>
        </w:rPr>
        <w:t xml:space="preserve">. 2000. № 3. </w:t>
      </w:r>
      <w:r>
        <w:t>С</w:t>
      </w:r>
      <w:r w:rsidRPr="00246D1B">
        <w:rPr>
          <w:lang w:val="en-US"/>
        </w:rPr>
        <w:t>. 37–52.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14. Gerring J. (2004). What Is a Case Study and What Is It Good for? American Political Sci- ence Review, vol. 98, no. 2, </w:t>
      </w:r>
      <w:r>
        <w:t>рр</w:t>
      </w:r>
      <w:r w:rsidRPr="00246D1B">
        <w:rPr>
          <w:lang w:val="en-US"/>
        </w:rPr>
        <w:t>. 341–354. DOI: 10.1017/S0003055404001182.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15. Blatter J., Haverland M. (2012). Designing Case Studies: Explanatory Approaches in Small-N Research. Houndmills, Basingstoke, Hampshire; New York, NY: Palgrave Macmillan. 262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lastRenderedPageBreak/>
        <w:t xml:space="preserve">16. Blatter J., Blume T. (2008). In Search of Co- variance, Causal Mechanisms or Congruence? To- wards a Plural Understanding of Case Studies, Swiss Political Science Review, vol. 14, no. 2, </w:t>
      </w:r>
      <w:r>
        <w:t>рр</w:t>
      </w:r>
      <w:r w:rsidRPr="00246D1B">
        <w:rPr>
          <w:lang w:val="en-US"/>
        </w:rPr>
        <w:t>. 315–356. DOI: 10.1002/j.1662-6370.2008.tb00105.x.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17. George A.L., Bennett A. (2005). Case Stud- ies and Theory Development in the Social Sciences. Cambridge. MA: MIT Press. 331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18. Beach D., Pedersen R.B. (2016). Causal Case Study Methods: Foundations and Guidelines for Comparing, Matching, and Tracing. University of Michigan Press. 416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19. Wauters B., Beach D. (2018). Process trac- ing and congruence analysis to support theory based impact evaluation? Evaluation, vol. 24, no. 3, </w:t>
      </w:r>
      <w:r>
        <w:t>рр</w:t>
      </w:r>
      <w:r w:rsidRPr="00246D1B">
        <w:rPr>
          <w:lang w:val="en-US"/>
        </w:rPr>
        <w:t>. 284–305. DOI: 10.1177/1356389018786081.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20. Moller J. (2017). A framework for congru- ence analysis in comparative historical analysis of political change, Quality &amp; Quantity, vol. 51, no. 5, </w:t>
      </w:r>
      <w:r>
        <w:t>рр</w:t>
      </w:r>
      <w:r w:rsidRPr="00246D1B">
        <w:rPr>
          <w:lang w:val="en-US"/>
        </w:rPr>
        <w:t>. 2337–2355. DOI: 10.1007/s11135-016-0391-5.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21. Yin R.K. (2018). Case Study Research and Applications: Design and Methods. Sixth Edition. Sage Publications. 240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22. </w:t>
      </w:r>
      <w:r>
        <w:t>Аллисон</w:t>
      </w:r>
      <w:r w:rsidRPr="00246D1B">
        <w:rPr>
          <w:lang w:val="en-US"/>
        </w:rPr>
        <w:t xml:space="preserve"> </w:t>
      </w:r>
      <w:r>
        <w:t>Г</w:t>
      </w:r>
      <w:r w:rsidRPr="00246D1B">
        <w:rPr>
          <w:lang w:val="en-US"/>
        </w:rPr>
        <w:t xml:space="preserve">. </w:t>
      </w:r>
      <w:r>
        <w:t>Квинтэссенция</w:t>
      </w:r>
      <w:r w:rsidRPr="00246D1B">
        <w:rPr>
          <w:lang w:val="en-US"/>
        </w:rPr>
        <w:t xml:space="preserve"> </w:t>
      </w:r>
      <w:r>
        <w:t>решения</w:t>
      </w:r>
      <w:r w:rsidRPr="00246D1B">
        <w:rPr>
          <w:lang w:val="en-US"/>
        </w:rPr>
        <w:t xml:space="preserve">: </w:t>
      </w:r>
      <w:r>
        <w:t>на</w:t>
      </w:r>
      <w:r w:rsidRPr="00246D1B">
        <w:rPr>
          <w:lang w:val="en-US"/>
        </w:rPr>
        <w:t xml:space="preserve"> </w:t>
      </w:r>
      <w:r>
        <w:t>примере</w:t>
      </w:r>
      <w:r w:rsidRPr="00246D1B">
        <w:rPr>
          <w:lang w:val="en-US"/>
        </w:rPr>
        <w:t xml:space="preserve"> </w:t>
      </w:r>
      <w:r>
        <w:t>Карибского</w:t>
      </w:r>
      <w:r w:rsidRPr="00246D1B">
        <w:rPr>
          <w:lang w:val="en-US"/>
        </w:rPr>
        <w:t xml:space="preserve"> </w:t>
      </w:r>
      <w:r>
        <w:t>кризиса</w:t>
      </w:r>
      <w:r w:rsidRPr="00246D1B">
        <w:rPr>
          <w:lang w:val="en-US"/>
        </w:rPr>
        <w:t xml:space="preserve"> 1962 </w:t>
      </w:r>
      <w:r>
        <w:t>г</w:t>
      </w:r>
      <w:r w:rsidRPr="00246D1B">
        <w:rPr>
          <w:lang w:val="en-US"/>
        </w:rPr>
        <w:t xml:space="preserve">. </w:t>
      </w:r>
      <w:r>
        <w:t>М</w:t>
      </w:r>
      <w:r w:rsidRPr="00246D1B">
        <w:rPr>
          <w:lang w:val="en-US"/>
        </w:rPr>
        <w:t xml:space="preserve">. : URSS ; </w:t>
      </w:r>
      <w:r>
        <w:t>Либроком</w:t>
      </w:r>
      <w:r w:rsidRPr="00246D1B">
        <w:rPr>
          <w:lang w:val="en-US"/>
        </w:rPr>
        <w:t xml:space="preserve">, 2011. 526 </w:t>
      </w:r>
      <w:r>
        <w:t>с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23. Schimmelfennig F. (2003). The EU, NATO and the Integration of Europe: Rules and Rhetoric. Cambridge: Cambridge University Press. 323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24. March J.G., Olsen J.P. (1984). The New In- stitutionalism: Organizational Factors in Political Life, American Political Science Review, vol. 78, no. 3, </w:t>
      </w:r>
      <w:r>
        <w:t>рр</w:t>
      </w:r>
      <w:r w:rsidRPr="00246D1B">
        <w:rPr>
          <w:lang w:val="en-US"/>
        </w:rPr>
        <w:t>. 734–749.</w:t>
      </w:r>
    </w:p>
    <w:p w:rsidR="00246D1B" w:rsidRPr="00246D1B" w:rsidRDefault="00246D1B" w:rsidP="00246D1B">
      <w:pPr>
        <w:rPr>
          <w:lang w:val="en-US"/>
        </w:rPr>
      </w:pPr>
    </w:p>
    <w:p w:rsidR="00246D1B" w:rsidRDefault="00246D1B" w:rsidP="00246D1B">
      <w:r w:rsidRPr="00246D1B">
        <w:rPr>
          <w:lang w:val="en-US"/>
        </w:rPr>
        <w:t xml:space="preserve">25. Hall P.A., Taylor R. (1996). Political Science and the Three New Institutionalisms, Political stud- ies, vol. 44, no. 5, </w:t>
      </w:r>
      <w:r>
        <w:t>рр</w:t>
      </w:r>
      <w:r w:rsidRPr="00246D1B">
        <w:rPr>
          <w:lang w:val="en-US"/>
        </w:rPr>
        <w:t xml:space="preserve">. 936–957. </w:t>
      </w:r>
      <w:r>
        <w:t>DOI: 10.1111/j.1467-9248.1996.tb00343.x.</w:t>
      </w:r>
    </w:p>
    <w:p w:rsidR="00246D1B" w:rsidRDefault="00246D1B" w:rsidP="00246D1B"/>
    <w:p w:rsidR="00246D1B" w:rsidRDefault="00246D1B" w:rsidP="00246D1B">
      <w:r>
        <w:t>26. Питерс Б.Г. Политические институты: вчера и сегодня // Политическая наука: новые направления. М. : Вече, 1999. С. 218–231.</w:t>
      </w:r>
    </w:p>
    <w:p w:rsidR="00246D1B" w:rsidRDefault="00246D1B" w:rsidP="00246D1B"/>
    <w:p w:rsidR="00246D1B" w:rsidRDefault="00246D1B" w:rsidP="00246D1B">
      <w:r>
        <w:t>27. Тамбовцев В. Теоретические вопросы институционального проектирования // Вопросы экономики. 1997. № 3. С. 82–94.</w:t>
      </w:r>
    </w:p>
    <w:p w:rsidR="00246D1B" w:rsidRDefault="00246D1B" w:rsidP="00246D1B"/>
    <w:p w:rsidR="00246D1B" w:rsidRDefault="00246D1B" w:rsidP="00246D1B">
      <w:r>
        <w:t>28. Бруннер К. Представление о человеке и концепция социума: два подхода к пониманию общества // THESIS. 1993. Т. 1. Вып. 3. С. 55–58.</w:t>
      </w:r>
    </w:p>
    <w:p w:rsidR="00246D1B" w:rsidRDefault="00246D1B" w:rsidP="00246D1B"/>
    <w:p w:rsidR="00246D1B" w:rsidRDefault="00246D1B" w:rsidP="00246D1B">
      <w:r>
        <w:t>29. Эрроу К. Коллективный выбор и индивидуальные ценности. М. : Издательский дом ГУ ВШЭ, 2004. 201 с.</w:t>
      </w:r>
    </w:p>
    <w:p w:rsidR="00246D1B" w:rsidRDefault="00246D1B" w:rsidP="00246D1B"/>
    <w:p w:rsidR="00246D1B" w:rsidRPr="00246D1B" w:rsidRDefault="00246D1B" w:rsidP="00246D1B">
      <w:pPr>
        <w:rPr>
          <w:lang w:val="en-US"/>
        </w:rPr>
      </w:pPr>
      <w:r>
        <w:t>30. Уильямсон О.И. Экономические институты капитализма: Фирмы, рынки, «отношенческая» контрактация. СПб</w:t>
      </w:r>
      <w:r w:rsidRPr="00246D1B">
        <w:rPr>
          <w:lang w:val="en-US"/>
        </w:rPr>
        <w:t xml:space="preserve">. : </w:t>
      </w:r>
      <w:r>
        <w:t>Лениздат</w:t>
      </w:r>
      <w:r w:rsidRPr="00246D1B">
        <w:rPr>
          <w:lang w:val="en-US"/>
        </w:rPr>
        <w:t xml:space="preserve">, 1996. 260 </w:t>
      </w:r>
      <w:r>
        <w:t>с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lastRenderedPageBreak/>
        <w:t>31. Thelen K. (2003). How institutions evolve: Insights from comparative historical analysis. In: Comparative historical analysis in the social sciences. Cambridge: Cambridge University Press. P</w:t>
      </w:r>
      <w:r>
        <w:t>р</w:t>
      </w:r>
      <w:r w:rsidRPr="00246D1B">
        <w:rPr>
          <w:lang w:val="en-US"/>
        </w:rPr>
        <w:t>. 208–240.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32. Pierson </w:t>
      </w:r>
      <w:r>
        <w:t>Р</w:t>
      </w:r>
      <w:r w:rsidRPr="00246D1B">
        <w:rPr>
          <w:lang w:val="en-US"/>
        </w:rPr>
        <w:t xml:space="preserve">. (2004). Politics In Time: History, Institutions, and Social Analysis. Princeton: Prince- ton University Press. 108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33. Tsebelis G. (2011). Veto Players: How Po- litical Institutions Work. Princeton: Princeton Uni- versity Press. 317 </w:t>
      </w:r>
      <w:r>
        <w:t>р</w:t>
      </w:r>
      <w:r w:rsidRPr="00246D1B">
        <w:rPr>
          <w:lang w:val="en-US"/>
        </w:rPr>
        <w:t>. DOI: 10.1515/9781400831456.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34. Selznick P. (1948). Foundations of the The- ory of Organization, American Sociological Review, vol. 13, no. 1, </w:t>
      </w:r>
      <w:r>
        <w:t>рр</w:t>
      </w:r>
      <w:r w:rsidRPr="00246D1B">
        <w:rPr>
          <w:lang w:val="en-US"/>
        </w:rPr>
        <w:t>. 25–35.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>35. Thoenig J.-C. (2003). Institutional Theories and Public Institutions: Traditions and Appropri- ateness. In: Handbook of Public Administration. London: Sage. P</w:t>
      </w:r>
      <w:r>
        <w:t>р</w:t>
      </w:r>
      <w:r w:rsidRPr="00246D1B">
        <w:rPr>
          <w:lang w:val="en-US"/>
        </w:rPr>
        <w:t>. 127–148.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>36. Farrell H. (2018). The Shared Challenges of Institutional Theories: Rational Choice, Histor- ical Institutionalism, and Sociological Institution- alism. In: Knowledge and Space. Vol. 13. P</w:t>
      </w:r>
      <w:r>
        <w:t>р</w:t>
      </w:r>
      <w:r w:rsidRPr="00246D1B">
        <w:rPr>
          <w:lang w:val="en-US"/>
        </w:rPr>
        <w:t>. 23–44. DOI: 10.1007/978-3-319-75328-7_2.</w:t>
      </w:r>
    </w:p>
    <w:p w:rsidR="00246D1B" w:rsidRPr="00246D1B" w:rsidRDefault="00246D1B" w:rsidP="00246D1B">
      <w:pPr>
        <w:rPr>
          <w:lang w:val="en-US"/>
        </w:rPr>
      </w:pPr>
    </w:p>
    <w:p w:rsidR="00246D1B" w:rsidRDefault="00246D1B" w:rsidP="00246D1B">
      <w:r w:rsidRPr="00246D1B">
        <w:rPr>
          <w:lang w:val="en-US"/>
        </w:rPr>
        <w:t xml:space="preserve">37. Starr H. (1991). Democratic Dominoes: Diffusion Approaches to the Spread of Democracy in the International System, The Journal of Conflict Resolution, vol. 35, no. 2, </w:t>
      </w:r>
      <w:r>
        <w:t>рр</w:t>
      </w:r>
      <w:r w:rsidRPr="00246D1B">
        <w:rPr>
          <w:lang w:val="en-US"/>
        </w:rPr>
        <w:t xml:space="preserve">. 356–381. </w:t>
      </w:r>
      <w:r>
        <w:t>DOI: 10.1177/0022002791035002010.</w:t>
      </w:r>
    </w:p>
    <w:p w:rsidR="00246D1B" w:rsidRDefault="00246D1B" w:rsidP="00246D1B"/>
    <w:p w:rsidR="00246D1B" w:rsidRDefault="00246D1B" w:rsidP="00246D1B">
      <w:r>
        <w:t>38. Тард Г. Законы подражания. М. : Академический проект, 2011. 260 с.</w:t>
      </w:r>
    </w:p>
    <w:p w:rsidR="00246D1B" w:rsidRDefault="00246D1B" w:rsidP="00246D1B"/>
    <w:p w:rsidR="00246D1B" w:rsidRPr="00246D1B" w:rsidRDefault="00246D1B" w:rsidP="00246D1B">
      <w:pPr>
        <w:rPr>
          <w:lang w:val="en-US"/>
        </w:rPr>
      </w:pPr>
      <w:r>
        <w:t xml:space="preserve">39. Rogers E.M. (1983). </w:t>
      </w:r>
      <w:r w:rsidRPr="00246D1B">
        <w:rPr>
          <w:lang w:val="en-US"/>
        </w:rPr>
        <w:t xml:space="preserve">Diffusion of innova- tions. New York: Free Press; London: Collier Mac- millan. 453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>40. Beissinger M.R. (2007). Structure and Ex- ample in Modular Political Phenomena: The Diffu- sion of Bulldozer/Rose/Orange/Tulip Revolutions,</w:t>
      </w: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Perspectives on Politics, vol. 5, no. 2, </w:t>
      </w:r>
      <w:r>
        <w:t>рр</w:t>
      </w:r>
      <w:r w:rsidRPr="00246D1B">
        <w:rPr>
          <w:lang w:val="en-US"/>
        </w:rPr>
        <w:t>. 259–276. DOI: 10.1017/S1537592707070776.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41. Midlarsky M.I. (1975). On war. New York: Free Press. 229 </w:t>
      </w:r>
      <w:r>
        <w:t>р</w:t>
      </w:r>
      <w:r w:rsidRPr="00246D1B">
        <w:rPr>
          <w:lang w:val="en-US"/>
        </w:rPr>
        <w:t>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42. Elkins Z., Simmons B. (2005). On Waves, Clusters, and Diffusion: A Conceptual Framework, The Annals of the American Academy of Political and Social Science, vol. 598, no. 1, </w:t>
      </w:r>
      <w:r>
        <w:t>рр</w:t>
      </w:r>
      <w:r w:rsidRPr="00246D1B">
        <w:rPr>
          <w:lang w:val="en-US"/>
        </w:rPr>
        <w:t>. 33–51. DOI: 10.1177/0002716204272516.</w:t>
      </w:r>
    </w:p>
    <w:p w:rsidR="00246D1B" w:rsidRPr="00246D1B" w:rsidRDefault="00246D1B" w:rsidP="00246D1B">
      <w:pPr>
        <w:rPr>
          <w:lang w:val="en-US"/>
        </w:rPr>
      </w:pPr>
    </w:p>
    <w:p w:rsidR="00246D1B" w:rsidRPr="00246D1B" w:rsidRDefault="00246D1B" w:rsidP="00246D1B">
      <w:pPr>
        <w:rPr>
          <w:lang w:val="en-US"/>
        </w:rPr>
      </w:pPr>
      <w:r w:rsidRPr="00246D1B">
        <w:rPr>
          <w:lang w:val="en-US"/>
        </w:rPr>
        <w:t xml:space="preserve">43. DiMaggio P.J., Powell W.W. (1983). The Iron Cage Revisited: Institutional Isomorphism and Collective Rationality in Organizational Fields, Amer- ican Sociological Review, vol. 48, no. 2, </w:t>
      </w:r>
      <w:r>
        <w:t>рр</w:t>
      </w:r>
      <w:r w:rsidRPr="00246D1B">
        <w:rPr>
          <w:lang w:val="en-US"/>
        </w:rPr>
        <w:t>. 147–160. DOI: 10.17323/1726-3247-2010-1-34-56.</w:t>
      </w:r>
    </w:p>
    <w:p w:rsidR="00246D1B" w:rsidRPr="00246D1B" w:rsidRDefault="00246D1B" w:rsidP="00246D1B">
      <w:pPr>
        <w:rPr>
          <w:lang w:val="en-US"/>
        </w:rPr>
      </w:pPr>
    </w:p>
    <w:p w:rsidR="00246D1B" w:rsidRDefault="00246D1B" w:rsidP="00246D1B">
      <w:r w:rsidRPr="00246D1B">
        <w:rPr>
          <w:lang w:val="en-US"/>
        </w:rPr>
        <w:t xml:space="preserve">44. Strang D., Meyer J.W. (1993). Institutional Conditions for Diffusion, Theory and Society, vol. 22, </w:t>
      </w:r>
      <w:r>
        <w:t>рр</w:t>
      </w:r>
      <w:r w:rsidRPr="00246D1B">
        <w:rPr>
          <w:lang w:val="en-US"/>
        </w:rPr>
        <w:t xml:space="preserve">. 487–511. </w:t>
      </w:r>
      <w:r>
        <w:t>DOI: 10.1007/BF00993595.</w:t>
      </w:r>
    </w:p>
    <w:p w:rsidR="00246D1B" w:rsidRDefault="00246D1B" w:rsidP="00246D1B"/>
    <w:p w:rsidR="00246D1B" w:rsidRDefault="00246D1B" w:rsidP="00246D1B">
      <w:r>
        <w:t>45. Капогузов Е.А., Левин С.Н., Саблин К.С. Что понимается под импортом институтов // Журнал экономической теории. 2019. № 3. С. 480–487. DOI: 10.31063/2073-6517/2019.16-3.15. EDN: NBFPBG.</w:t>
      </w:r>
    </w:p>
    <w:p w:rsidR="00246D1B" w:rsidRDefault="00246D1B" w:rsidP="00246D1B"/>
    <w:p w:rsidR="00246D1B" w:rsidRDefault="00246D1B" w:rsidP="00246D1B">
      <w:r>
        <w:t>46. Полтерович В.М. Трансплантация экономических институтов// экономическая наука современной России. 2001. № 3. С. 24–50. EDN: IBAKRX.</w:t>
      </w:r>
    </w:p>
    <w:p w:rsidR="00246D1B" w:rsidRDefault="00246D1B" w:rsidP="00246D1B"/>
    <w:p w:rsidR="00246D1B" w:rsidRDefault="00246D1B" w:rsidP="00246D1B">
      <w:r>
        <w:t>47. Рождественская И.А., Тамбовцев В.Л. Импорт институтов и диффузия идей // Жур- нал экономической теории. 2019. Т. 16. № 3. С. 468–479. DOI: 10.31063/2073-6517/2019.16-3.14. EDN: WLWUPR.</w:t>
      </w:r>
    </w:p>
    <w:p w:rsidR="00246D1B" w:rsidRDefault="00246D1B" w:rsidP="00246D1B"/>
    <w:p w:rsidR="00246D1B" w:rsidRPr="00246D1B" w:rsidRDefault="00246D1B" w:rsidP="00246D1B">
      <w:pPr>
        <w:rPr>
          <w:lang w:val="en-US"/>
        </w:rPr>
      </w:pPr>
      <w:r>
        <w:t>48. Олейник А.Н. Институциональная экономика. М</w:t>
      </w:r>
      <w:r w:rsidRPr="00246D1B">
        <w:rPr>
          <w:lang w:val="en-US"/>
        </w:rPr>
        <w:t xml:space="preserve">. : </w:t>
      </w:r>
      <w:r>
        <w:t>ИНФРА</w:t>
      </w:r>
      <w:r w:rsidRPr="00246D1B">
        <w:rPr>
          <w:lang w:val="en-US"/>
        </w:rPr>
        <w:t>-</w:t>
      </w:r>
      <w:r>
        <w:t>М</w:t>
      </w:r>
      <w:r w:rsidRPr="00246D1B">
        <w:rPr>
          <w:lang w:val="en-US"/>
        </w:rPr>
        <w:t xml:space="preserve">, 2002. 416 </w:t>
      </w:r>
      <w:r>
        <w:t>с</w:t>
      </w:r>
      <w:r w:rsidRPr="00246D1B">
        <w:rPr>
          <w:lang w:val="en-US"/>
        </w:rPr>
        <w:t xml:space="preserve">.49. Thelen K. (1999). Historical Institutional- ism in comparative politics, Annual Review of Po- litical Science, vol. 2, no. 1, </w:t>
      </w:r>
      <w:r>
        <w:t>рр</w:t>
      </w:r>
      <w:r w:rsidRPr="00246D1B">
        <w:rPr>
          <w:lang w:val="en-US"/>
        </w:rPr>
        <w:t>. 369–404. DOI: 10.1146/ annurev.polisci.2.1.369.</w:t>
      </w:r>
    </w:p>
    <w:p w:rsidR="00246D1B" w:rsidRPr="00246D1B" w:rsidRDefault="00246D1B" w:rsidP="00246D1B">
      <w:pPr>
        <w:rPr>
          <w:lang w:val="en-US"/>
        </w:rPr>
      </w:pPr>
    </w:p>
    <w:p w:rsidR="00246D1B" w:rsidRDefault="00246D1B" w:rsidP="00246D1B">
      <w:r w:rsidRPr="00246D1B">
        <w:rPr>
          <w:lang w:val="en-US"/>
        </w:rPr>
        <w:t xml:space="preserve">50. David P.A. (2007). Path Dependence: A Foundational Concept for Historical Social Sci- ence, Cliometrica, vol. 1, no. 2, </w:t>
      </w:r>
      <w:r>
        <w:t>рр</w:t>
      </w:r>
      <w:r w:rsidRPr="00246D1B">
        <w:rPr>
          <w:lang w:val="en-US"/>
        </w:rPr>
        <w:t xml:space="preserve">. 91–114. </w:t>
      </w:r>
      <w:r>
        <w:t>DOI: 10.1007/s11698-006-0005-x.</w:t>
      </w:r>
    </w:p>
    <w:p w:rsidR="00246D1B" w:rsidRDefault="00246D1B" w:rsidP="00246D1B"/>
    <w:p w:rsidR="00246D1B" w:rsidRDefault="00246D1B" w:rsidP="00246D1B">
      <w:r>
        <w:t>51. Дэвид П. КЛИО и экономическая теория QWERTY // Истоки: из опыта изучения экономики как структуры и как процесса. М. : Издательском дом ГУ ВШЭ, 2007. С. 139–150.</w:t>
      </w:r>
    </w:p>
    <w:p w:rsidR="00246D1B" w:rsidRDefault="00246D1B" w:rsidP="00246D1B"/>
    <w:p w:rsidR="00246D1B" w:rsidRPr="00246D1B" w:rsidRDefault="00246D1B" w:rsidP="00246D1B">
      <w:pPr>
        <w:rPr>
          <w:lang w:val="en-US"/>
        </w:rPr>
      </w:pPr>
      <w:r>
        <w:t xml:space="preserve">52. Sewell W. H. Jr. </w:t>
      </w:r>
      <w:r w:rsidRPr="00246D1B">
        <w:rPr>
          <w:lang w:val="en-US"/>
        </w:rPr>
        <w:t>(1996). Three Temporalities: Toward an Eventful Sociology, The Historic turn in the Human Sciences. Ann Arbor: University of Michi- gan Press. P</w:t>
      </w:r>
      <w:r>
        <w:t>р</w:t>
      </w:r>
      <w:r w:rsidRPr="00246D1B">
        <w:rPr>
          <w:lang w:val="en-US"/>
        </w:rPr>
        <w:t>. 245–280.</w:t>
      </w:r>
    </w:p>
    <w:p w:rsidR="00246D1B" w:rsidRPr="00246D1B" w:rsidRDefault="00246D1B" w:rsidP="00246D1B">
      <w:pPr>
        <w:rPr>
          <w:lang w:val="en-US"/>
        </w:rPr>
      </w:pPr>
    </w:p>
    <w:p w:rsidR="00246D1B" w:rsidRDefault="00246D1B" w:rsidP="00246D1B">
      <w:r w:rsidRPr="00246D1B">
        <w:rPr>
          <w:lang w:val="en-US"/>
        </w:rPr>
        <w:t xml:space="preserve">53. Levi M. (1997). </w:t>
      </w:r>
      <w:r>
        <w:t>A Model, a Method, and a Map: Rational Choice in Comparative and Historical Analysis. In: Comparative Politics: Rationality,</w:t>
      </w:r>
    </w:p>
    <w:p w:rsidR="00246D1B" w:rsidRDefault="00246D1B" w:rsidP="00246D1B">
      <w:r>
        <w:t>Culture, and Structure. Cambridge: Cambridge Uni- versity Press. Pр. 19–41.</w:t>
      </w:r>
    </w:p>
    <w:p w:rsidR="00246D1B" w:rsidRDefault="00246D1B" w:rsidP="00246D1B"/>
    <w:p w:rsidR="00246D1B" w:rsidRDefault="00246D1B" w:rsidP="00246D1B">
      <w:r>
        <w:t>54. Mahoney J. (2000). Path Dependence in His- torical Sociology, Theory and Society, vol. 29, no. 4, рр. 507–548. DOI: 10.1023/A:1007113830879.</w:t>
      </w:r>
    </w:p>
    <w:p w:rsidR="00246D1B" w:rsidRDefault="00246D1B" w:rsidP="00246D1B"/>
    <w:p w:rsidR="00246D1B" w:rsidRDefault="00246D1B" w:rsidP="00246D1B">
      <w:r>
        <w:t>55. Thelen K. (2004). How Institutions Evolve: The Political Economy of Skills in Germany, Britain, the United States, and Japan. Cambridge: Cambridge University Press. 333 р. DOI: 10.1017/ CBO9780511790997.</w:t>
      </w:r>
    </w:p>
    <w:p w:rsidR="00246D1B" w:rsidRDefault="00246D1B" w:rsidP="00246D1B"/>
    <w:p w:rsidR="00246D1B" w:rsidRDefault="00246D1B" w:rsidP="00246D1B">
      <w:r>
        <w:t>56. Capoccia G., Kelemen R.D. (2007). The Study of Critical Junctures: Theory, Narrative, and Counterfactuals in Historical Institutionalism, World Politics, vol. 59, no. 3, рр. 341–369. DOI: 10.1017/S0043887100020852.</w:t>
      </w:r>
    </w:p>
    <w:p w:rsidR="00246D1B" w:rsidRDefault="00246D1B" w:rsidP="00246D1B"/>
    <w:p w:rsidR="00246D1B" w:rsidRDefault="00246D1B" w:rsidP="00246D1B">
      <w:r>
        <w:t>57. Талеб Н. Черный лебедь. Под знаком непредсказуемости. М. : КоЛибри, 2011. 528 с.</w:t>
      </w:r>
    </w:p>
    <w:p w:rsidR="00246D1B" w:rsidRDefault="00246D1B" w:rsidP="00246D1B"/>
    <w:p w:rsidR="00246D1B" w:rsidRDefault="00246D1B" w:rsidP="00246D1B">
      <w:r>
        <w:t>58. Herron M.C., Quinn K.M. (2016). A Care- ful Look at Modern Case Selection Methods, Soci- ological Methods &amp; Research, vol. 45, no. 3, рр. 458–492. DOI: 10.1177/0049124114547053.</w:t>
      </w:r>
    </w:p>
    <w:p w:rsidR="00246D1B" w:rsidRDefault="00246D1B" w:rsidP="00246D1B"/>
    <w:p w:rsidR="00246D1B" w:rsidRDefault="00246D1B" w:rsidP="00246D1B">
      <w:r>
        <w:t>59. Gerring J., Cojocaru L. (2016). Selecting cases for intensive analysis: A diversity of goals and methods, Sociological Methods &amp; Research, vol. 45, no. 3, рр. 392–423. DOI: 10.1177/0049124116631692.</w:t>
      </w:r>
    </w:p>
    <w:p w:rsidR="00246D1B" w:rsidRDefault="00246D1B" w:rsidP="00246D1B"/>
    <w:p w:rsidR="00246D1B" w:rsidRDefault="00246D1B" w:rsidP="00246D1B">
      <w:r>
        <w:t>60. Seawright J., Gerring J. (2006). Case Selec- tion Techniques in Case Study Research: A Menu of Qualitative and Quantitative Options, Political Research Quarterly, vol. 61, no. 2, рр. 294–308. DOI: 10.1177/1065912907313077.</w:t>
      </w:r>
    </w:p>
    <w:p w:rsidR="00246D1B" w:rsidRDefault="00246D1B" w:rsidP="00246D1B"/>
    <w:p w:rsidR="00246D1B" w:rsidRDefault="00246D1B" w:rsidP="00246D1B">
      <w:r>
        <w:lastRenderedPageBreak/>
        <w:t>61. Shakir M. (2002). The selection of case stud- ies: Strategies and their applications to IS imple- mentation cases studies, Research Letters in the In- formationand Mathematical Sciences, no. 3, рр. 191–198.</w:t>
      </w:r>
    </w:p>
    <w:p w:rsidR="00246D1B" w:rsidRDefault="00246D1B" w:rsidP="00246D1B"/>
    <w:p w:rsidR="00246D1B" w:rsidRDefault="00246D1B" w:rsidP="00246D1B">
      <w:r>
        <w:t>62. Федералист. Политические эссе А. Гамильтона, Дж. Мэдисона и Дж. Джея / Под общ. ред. Н. Н. Яковлева. М. : Издательская группа «Прогресс» – «Литера», 1994. 592 с.</w:t>
      </w:r>
    </w:p>
    <w:p w:rsidR="00246D1B" w:rsidRDefault="00246D1B" w:rsidP="00246D1B"/>
    <w:p w:rsidR="00246D1B" w:rsidRDefault="00246D1B" w:rsidP="00246D1B">
      <w:r>
        <w:t>63. Иванченко А.В., Любарев А.Е. Российские выборы от перестройки до суверенной демократии. М. : Аспект Пресс, 2006. 221 с.</w:t>
      </w:r>
    </w:p>
    <w:p w:rsidR="00246D1B" w:rsidRDefault="00246D1B" w:rsidP="00246D1B"/>
    <w:p w:rsidR="00246D1B" w:rsidRDefault="00246D1B" w:rsidP="00246D1B">
      <w:r>
        <w:t>64. Кынев А.В. Губернаторы в России: между выборами и назначениями. М. : Фонд «Либеральная миссия», 2020. 1030 с.</w:t>
      </w:r>
    </w:p>
    <w:p w:rsidR="00246D1B" w:rsidRDefault="00246D1B" w:rsidP="00246D1B"/>
    <w:p w:rsidR="00246D1B" w:rsidRDefault="00246D1B" w:rsidP="00246D1B">
      <w:r>
        <w:t>65. Левин А.Ю. Феномен. Штрихи к портрету Эдуарда Росселя. Екатеринбург : Банк культурной информации, 2007. 317 с.</w:t>
      </w:r>
    </w:p>
    <w:p w:rsidR="00246D1B" w:rsidRDefault="00246D1B" w:rsidP="00246D1B"/>
    <w:p w:rsidR="00246D1B" w:rsidRDefault="00246D1B" w:rsidP="00246D1B">
      <w:r>
        <w:t>66. Россель Э.Э. Публично о личном. Записки на полях моей жизни. М. : Международный Демидовский Фонд, 2017. 287 с.</w:t>
      </w:r>
    </w:p>
    <w:p w:rsidR="00246D1B" w:rsidRDefault="00246D1B" w:rsidP="00246D1B">
      <w:bookmarkStart w:id="0" w:name="_GoBack"/>
      <w:bookmarkEnd w:id="0"/>
    </w:p>
    <w:sectPr w:rsidR="00246D1B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B"/>
    <w:rsid w:val="00017B57"/>
    <w:rsid w:val="000706E4"/>
    <w:rsid w:val="00077F28"/>
    <w:rsid w:val="00246D1B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CEF"/>
  <w15:chartTrackingRefBased/>
  <w15:docId w15:val="{A098F933-2CCB-BC4B-BFBE-8C9FEAA0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9117</Characters>
  <Application>Microsoft Office Word</Application>
  <DocSecurity>0</DocSecurity>
  <Lines>253</Lines>
  <Paragraphs>145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2025-07-26T03:09:00Z</dcterms:created>
  <dcterms:modified xsi:type="dcterms:W3CDTF">2025-07-26T03:10:00Z</dcterms:modified>
</cp:coreProperties>
</file>