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0C4C1A">
      <w:r>
        <w:t>Список источников</w:t>
      </w:r>
    </w:p>
    <w:p w:rsidR="000C4C1A" w:rsidRPr="000C4C1A" w:rsidRDefault="000C4C1A" w:rsidP="000C4C1A">
      <w:pPr>
        <w:rPr>
          <w:lang w:val="en-US"/>
        </w:rPr>
      </w:pPr>
      <w:r w:rsidRPr="000C4C1A">
        <w:rPr>
          <w:lang w:val="en-US"/>
        </w:rPr>
        <w:t xml:space="preserve">1. </w:t>
      </w:r>
      <w:proofErr w:type="spellStart"/>
      <w:r w:rsidRPr="000C4C1A">
        <w:rPr>
          <w:lang w:val="en-US"/>
        </w:rPr>
        <w:t>Benešová</w:t>
      </w:r>
      <w:proofErr w:type="spellEnd"/>
      <w:r w:rsidRPr="000C4C1A">
        <w:rPr>
          <w:lang w:val="en-US"/>
        </w:rPr>
        <w:t xml:space="preserve"> A., </w:t>
      </w:r>
      <w:proofErr w:type="spellStart"/>
      <w:r w:rsidRPr="000C4C1A">
        <w:rPr>
          <w:lang w:val="en-US"/>
        </w:rPr>
        <w:t>Tupa</w:t>
      </w:r>
      <w:proofErr w:type="spellEnd"/>
      <w:r w:rsidRPr="000C4C1A">
        <w:rPr>
          <w:lang w:val="en-US"/>
        </w:rPr>
        <w:t xml:space="preserve"> J. (2017). Requirements for education and qualification of people in Industry 4.0, Procedia Manufacturing, vol. 11, pp. 2195–2202. DOI: 10.1016/j.promfg.2017.07.366.</w:t>
      </w:r>
    </w:p>
    <w:p w:rsidR="000C4C1A" w:rsidRPr="000C4C1A" w:rsidRDefault="000C4C1A" w:rsidP="000C4C1A">
      <w:pPr>
        <w:rPr>
          <w:lang w:val="en-US"/>
        </w:rPr>
      </w:pPr>
    </w:p>
    <w:p w:rsidR="000C4C1A" w:rsidRPr="000C4C1A" w:rsidRDefault="000C4C1A" w:rsidP="000C4C1A">
      <w:pPr>
        <w:rPr>
          <w:lang w:val="en-US"/>
        </w:rPr>
      </w:pPr>
      <w:r w:rsidRPr="000C4C1A">
        <w:rPr>
          <w:lang w:val="en-US"/>
        </w:rPr>
        <w:t>2. Acemoglu D., Restrepo P. (2018). Demo‐ graphics and Automation, NBER Working Paper, no. 24421. DOI: 10.3386/w24421.</w:t>
      </w:r>
    </w:p>
    <w:p w:rsidR="000C4C1A" w:rsidRPr="000C4C1A" w:rsidRDefault="000C4C1A" w:rsidP="000C4C1A">
      <w:pPr>
        <w:rPr>
          <w:lang w:val="en-US"/>
        </w:rPr>
      </w:pPr>
    </w:p>
    <w:p w:rsidR="000C4C1A" w:rsidRDefault="000C4C1A" w:rsidP="000C4C1A">
      <w:r w:rsidRPr="000C4C1A">
        <w:rPr>
          <w:lang w:val="en-US"/>
        </w:rPr>
        <w:t xml:space="preserve">3. </w:t>
      </w:r>
      <w:proofErr w:type="spellStart"/>
      <w:r w:rsidRPr="000C4C1A">
        <w:rPr>
          <w:lang w:val="en-US"/>
        </w:rPr>
        <w:t>Axelrad</w:t>
      </w:r>
      <w:proofErr w:type="spellEnd"/>
      <w:r w:rsidRPr="000C4C1A">
        <w:rPr>
          <w:lang w:val="en-US"/>
        </w:rPr>
        <w:t xml:space="preserve"> H., James J.B. (2016). Employers’ attitudes toward older-worker job seekers: A com‐ </w:t>
      </w:r>
      <w:proofErr w:type="spellStart"/>
      <w:r w:rsidRPr="000C4C1A">
        <w:rPr>
          <w:lang w:val="en-US"/>
        </w:rPr>
        <w:t>prehensive</w:t>
      </w:r>
      <w:proofErr w:type="spellEnd"/>
      <w:r w:rsidRPr="000C4C1A">
        <w:rPr>
          <w:lang w:val="en-US"/>
        </w:rPr>
        <w:t xml:space="preserve"> review with recommendations for ac‐ </w:t>
      </w:r>
      <w:proofErr w:type="spellStart"/>
      <w:r w:rsidRPr="000C4C1A">
        <w:rPr>
          <w:lang w:val="en-US"/>
        </w:rPr>
        <w:t>tion</w:t>
      </w:r>
      <w:proofErr w:type="spellEnd"/>
      <w:r w:rsidRPr="000C4C1A">
        <w:rPr>
          <w:lang w:val="en-US"/>
        </w:rPr>
        <w:t xml:space="preserve">. In: A. Antoniou, R. Burke, C. Cooper (eds.). The aging workforce handbook: Individual, organ‐ </w:t>
      </w:r>
      <w:proofErr w:type="spellStart"/>
      <w:r w:rsidRPr="000C4C1A">
        <w:rPr>
          <w:lang w:val="en-US"/>
        </w:rPr>
        <w:t>izational</w:t>
      </w:r>
      <w:proofErr w:type="spellEnd"/>
      <w:r w:rsidRPr="000C4C1A">
        <w:rPr>
          <w:lang w:val="en-US"/>
        </w:rPr>
        <w:t xml:space="preserve">, and societal challenges. </w:t>
      </w:r>
      <w:proofErr w:type="spellStart"/>
      <w:r>
        <w:t>Bingley</w:t>
      </w:r>
      <w:proofErr w:type="spellEnd"/>
      <w:r>
        <w:t xml:space="preserve">: </w:t>
      </w:r>
      <w:proofErr w:type="spellStart"/>
      <w:r>
        <w:t>Emer</w:t>
      </w:r>
      <w:proofErr w:type="spellEnd"/>
      <w:r>
        <w:t xml:space="preserve">‐ </w:t>
      </w:r>
      <w:proofErr w:type="spellStart"/>
      <w:r>
        <w:t>ald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, </w:t>
      </w:r>
      <w:proofErr w:type="spellStart"/>
      <w:r>
        <w:t>pp</w:t>
      </w:r>
      <w:proofErr w:type="spellEnd"/>
      <w:r>
        <w:t>. 489–512.</w:t>
      </w:r>
    </w:p>
    <w:p w:rsidR="000C4C1A" w:rsidRDefault="000C4C1A" w:rsidP="000C4C1A"/>
    <w:p w:rsidR="000C4C1A" w:rsidRDefault="000C4C1A" w:rsidP="000C4C1A">
      <w:r>
        <w:t xml:space="preserve">4. Смирных Л.И. Цифровая грамотность по‐ жилого населения и цифровизация предприятий: опыт </w:t>
      </w:r>
      <w:proofErr w:type="spellStart"/>
      <w:r>
        <w:t>европейских</w:t>
      </w:r>
      <w:proofErr w:type="spellEnd"/>
      <w:r>
        <w:t xml:space="preserve"> стран // Вопросы экономики. 2020. № 12. С. 104–124. DOI: 10.32609/0042-8736-2020-12-104-124.</w:t>
      </w:r>
    </w:p>
    <w:p w:rsidR="000C4C1A" w:rsidRDefault="000C4C1A" w:rsidP="000C4C1A"/>
    <w:p w:rsidR="000C4C1A" w:rsidRPr="000C4C1A" w:rsidRDefault="000C4C1A" w:rsidP="000C4C1A">
      <w:pPr>
        <w:rPr>
          <w:lang w:val="en-US"/>
        </w:rPr>
      </w:pPr>
      <w:r>
        <w:t xml:space="preserve">5. Цифровая грамотность россиян: исследование 2020. М. : </w:t>
      </w:r>
      <w:proofErr w:type="spellStart"/>
      <w:r>
        <w:t>Аналитическии</w:t>
      </w:r>
      <w:proofErr w:type="spellEnd"/>
      <w:r>
        <w:t xml:space="preserve">̆ центр НАФИ. </w:t>
      </w:r>
      <w:r w:rsidRPr="000C4C1A">
        <w:rPr>
          <w:lang w:val="en-US"/>
        </w:rPr>
        <w:t>URL: https://nafi.ru/analytics/tsifrovaya-gramot- nost-rossiyan-issledovanie-2020.</w:t>
      </w:r>
    </w:p>
    <w:p w:rsidR="000C4C1A" w:rsidRPr="000C4C1A" w:rsidRDefault="000C4C1A" w:rsidP="000C4C1A">
      <w:pPr>
        <w:rPr>
          <w:lang w:val="en-US"/>
        </w:rPr>
      </w:pPr>
    </w:p>
    <w:p w:rsidR="000C4C1A" w:rsidRDefault="000C4C1A" w:rsidP="000C4C1A">
      <w:r w:rsidRPr="000C4C1A">
        <w:rPr>
          <w:lang w:val="en-US"/>
        </w:rPr>
        <w:t xml:space="preserve">6. </w:t>
      </w:r>
      <w:proofErr w:type="spellStart"/>
      <w:r w:rsidRPr="000C4C1A">
        <w:rPr>
          <w:lang w:val="en-US"/>
        </w:rPr>
        <w:t>Carretero</w:t>
      </w:r>
      <w:proofErr w:type="spellEnd"/>
      <w:r w:rsidRPr="000C4C1A">
        <w:rPr>
          <w:lang w:val="en-US"/>
        </w:rPr>
        <w:t xml:space="preserve"> S., </w:t>
      </w:r>
      <w:proofErr w:type="spellStart"/>
      <w:r w:rsidRPr="000C4C1A">
        <w:rPr>
          <w:lang w:val="en-US"/>
        </w:rPr>
        <w:t>Vuorikari</w:t>
      </w:r>
      <w:proofErr w:type="spellEnd"/>
      <w:r w:rsidRPr="000C4C1A">
        <w:rPr>
          <w:lang w:val="en-US"/>
        </w:rPr>
        <w:t xml:space="preserve"> R., </w:t>
      </w:r>
      <w:proofErr w:type="spellStart"/>
      <w:r w:rsidRPr="000C4C1A">
        <w:rPr>
          <w:lang w:val="en-US"/>
        </w:rPr>
        <w:t>Punie</w:t>
      </w:r>
      <w:proofErr w:type="spellEnd"/>
      <w:r w:rsidRPr="000C4C1A">
        <w:rPr>
          <w:lang w:val="en-US"/>
        </w:rPr>
        <w:t xml:space="preserve"> Y. (2017). </w:t>
      </w:r>
      <w:proofErr w:type="spellStart"/>
      <w:r w:rsidRPr="000C4C1A">
        <w:rPr>
          <w:lang w:val="en-US"/>
        </w:rPr>
        <w:t>DigComp</w:t>
      </w:r>
      <w:proofErr w:type="spellEnd"/>
      <w:r w:rsidRPr="000C4C1A">
        <w:rPr>
          <w:lang w:val="en-US"/>
        </w:rPr>
        <w:t xml:space="preserve"> 2.1: The digital competence frame- work for citizens with eight proficiency levels and examples of use. </w:t>
      </w:r>
      <w:proofErr w:type="spellStart"/>
      <w:r>
        <w:t>Luxembourg</w:t>
      </w:r>
      <w:proofErr w:type="spellEnd"/>
      <w:r>
        <w:t xml:space="preserve">: </w:t>
      </w:r>
      <w:proofErr w:type="spellStart"/>
      <w:r>
        <w:t>Publications</w:t>
      </w:r>
      <w:proofErr w:type="spellEnd"/>
      <w:r>
        <w:t xml:space="preserve"> Office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>. DOI: 10.2760/38842.</w:t>
      </w:r>
    </w:p>
    <w:p w:rsidR="000C4C1A" w:rsidRDefault="000C4C1A" w:rsidP="000C4C1A"/>
    <w:p w:rsidR="000C4C1A" w:rsidRDefault="000C4C1A" w:rsidP="000C4C1A">
      <w:r>
        <w:t xml:space="preserve">7. Работники </w:t>
      </w:r>
      <w:proofErr w:type="spellStart"/>
      <w:r>
        <w:t>предпенсионного</w:t>
      </w:r>
      <w:proofErr w:type="spellEnd"/>
      <w:r>
        <w:t xml:space="preserve"> возраста на рынке труда в Российской Федерации: информационный бюллетень // Л. И. Смирных, Н. </w:t>
      </w:r>
      <w:proofErr w:type="spellStart"/>
      <w:r>
        <w:t>Емелина</w:t>
      </w:r>
      <w:proofErr w:type="spellEnd"/>
      <w:r>
        <w:t>, П. В. Травкин, Л. А. Леонова, С. Ю. Рощин, С. А. Солнцев ; под науч. ред. С. Ю. Рощина, С. А. Солнцева ; Национальный исследовательский университет «Высшая школа экономики». М. : Издательский дом Высшей школы экономики, 2020. 32 с. DOI: 10.17323/978-5-7598-2196-0. EDN: MRWSHD.</w:t>
      </w:r>
    </w:p>
    <w:p w:rsidR="000C4C1A" w:rsidRDefault="000C4C1A" w:rsidP="000C4C1A"/>
    <w:p w:rsidR="000C4C1A" w:rsidRPr="000C4C1A" w:rsidRDefault="000C4C1A" w:rsidP="000C4C1A">
      <w:pPr>
        <w:rPr>
          <w:lang w:val="en-US"/>
        </w:rPr>
      </w:pPr>
      <w:r w:rsidRPr="000C4C1A">
        <w:rPr>
          <w:lang w:val="en-US"/>
        </w:rPr>
        <w:t>8. Department of Economic and Social Affairs, Population Division. World Population Prospects 2022: Summary of Results. UN DESA/POP/2022/ TR/NO.3. URL: https://www.un.org/development/desa/pd/sites/www.un.org.development.desa.pd/ files/wpp2022_summary_of_results.pdf (accessed 16.09.2022).</w:t>
      </w:r>
    </w:p>
    <w:p w:rsidR="000C4C1A" w:rsidRPr="000C4C1A" w:rsidRDefault="000C4C1A" w:rsidP="000C4C1A">
      <w:pPr>
        <w:rPr>
          <w:lang w:val="en-US"/>
        </w:rPr>
      </w:pPr>
    </w:p>
    <w:p w:rsidR="000C4C1A" w:rsidRDefault="000C4C1A" w:rsidP="000C4C1A">
      <w:r>
        <w:t>9. Лукьянова А. Занятость населения старшего возраста. Центр трудовых исследований НИУ ВШЭ. 2020. URL: https://isp.hse.ru/data/ 2020/04/28/1544886314/03%20Lukyanova_Dok lad%20KPAD_28-04-2020.pdf (дата обращения: 16.09.2022).</w:t>
      </w:r>
    </w:p>
    <w:p w:rsidR="000C4C1A" w:rsidRDefault="000C4C1A" w:rsidP="000C4C1A"/>
    <w:p w:rsidR="000C4C1A" w:rsidRDefault="000C4C1A" w:rsidP="000C4C1A">
      <w:r>
        <w:t xml:space="preserve">10. Численность населения Российской Федерации по полу и возрасту на 1 января 2022 года : Статистический бюллетень. URL: https:// r o s </w:t>
      </w:r>
      <w:proofErr w:type="spellStart"/>
      <w:r>
        <w:t>s</w:t>
      </w:r>
      <w:proofErr w:type="spellEnd"/>
      <w:r>
        <w:t xml:space="preserve"> t a t . g o v . r u / s t o r a g e / m e d i a b a n k / Bul_chislen_nasel-pv_01-01-2022.pdf (дата обращения: 16.09.2022).</w:t>
      </w:r>
    </w:p>
    <w:p w:rsidR="000C4C1A" w:rsidRDefault="000C4C1A" w:rsidP="000C4C1A"/>
    <w:p w:rsidR="000C4C1A" w:rsidRDefault="000C4C1A" w:rsidP="000C4C1A">
      <w:r>
        <w:t xml:space="preserve">11. Рабочая сила, занятость и безработица в России (по результатам выборочных обследований рабочей силы). Статистический сбор‐ ник / Росстат. M., 2022. 151 c. URL: https:// r o s </w:t>
      </w:r>
      <w:proofErr w:type="spellStart"/>
      <w:r>
        <w:t>s</w:t>
      </w:r>
      <w:proofErr w:type="spellEnd"/>
      <w:r>
        <w:t xml:space="preserve"> t a t . g o v . r u / s t o r a g e / m e d i a b a n k / Rab_sila_2022.pdf (дата обращения: 16.09.2022).</w:t>
      </w:r>
    </w:p>
    <w:p w:rsidR="000C4C1A" w:rsidRDefault="000C4C1A" w:rsidP="000C4C1A"/>
    <w:p w:rsidR="000C4C1A" w:rsidRDefault="000C4C1A" w:rsidP="000C4C1A">
      <w:r>
        <w:lastRenderedPageBreak/>
        <w:t xml:space="preserve">12. Бобков В.Н., Одинцова Е.В., </w:t>
      </w:r>
      <w:proofErr w:type="spellStart"/>
      <w:r>
        <w:t>Шичкин</w:t>
      </w:r>
      <w:proofErr w:type="spellEnd"/>
      <w:r>
        <w:t xml:space="preserve"> И.А. Влияние профессионально-квалификационных навыков использования информационно-коммуникационных технологий на доходы от занятости: поколенная дифференциация // Российский экономический журнал. 2022. № 4. С. 93–113. DOI: 10.33983/0130-9757-2022-4-93-113.</w:t>
      </w:r>
    </w:p>
    <w:p w:rsidR="000C4C1A" w:rsidRDefault="000C4C1A" w:rsidP="000C4C1A"/>
    <w:p w:rsidR="000C4C1A" w:rsidRDefault="000C4C1A" w:rsidP="000C4C1A">
      <w:r>
        <w:t xml:space="preserve">13. Права работников </w:t>
      </w:r>
      <w:proofErr w:type="spellStart"/>
      <w:r>
        <w:t>предпенсионного</w:t>
      </w:r>
      <w:proofErr w:type="spellEnd"/>
      <w:r>
        <w:t xml:space="preserve"> возраста //«Я кадровик». 2019. № 26. Февраль. URL: https://kontur.ru/articles/5403 (дата обращения: 16.09.2022)</w:t>
      </w:r>
    </w:p>
    <w:p w:rsidR="000C4C1A" w:rsidRDefault="000C4C1A" w:rsidP="000C4C1A"/>
    <w:p w:rsidR="000C4C1A" w:rsidRDefault="000C4C1A" w:rsidP="000C4C1A">
      <w:r>
        <w:t xml:space="preserve">14. Черных Н.А. Тарасова А.Н., </w:t>
      </w:r>
      <w:proofErr w:type="spellStart"/>
      <w:r>
        <w:t>Сырчин</w:t>
      </w:r>
      <w:proofErr w:type="spellEnd"/>
      <w:r>
        <w:t xml:space="preserve"> А.Е. </w:t>
      </w:r>
      <w:proofErr w:type="spellStart"/>
      <w:r>
        <w:t>Предпенсионеры</w:t>
      </w:r>
      <w:proofErr w:type="spellEnd"/>
      <w:r>
        <w:t xml:space="preserve"> на рынке труда: проблемы занятости и меры поддержки // Экономика региона. 2020. Т. 16. № 4. С. 1178–1192. DOI: 10.17059/ekon.reg.2020-4-12. EDN: ELLYAH.</w:t>
      </w:r>
    </w:p>
    <w:p w:rsidR="000C4C1A" w:rsidRDefault="000C4C1A" w:rsidP="000C4C1A"/>
    <w:p w:rsidR="000C4C1A" w:rsidRDefault="000C4C1A" w:rsidP="000C4C1A">
      <w:r>
        <w:t xml:space="preserve">15. </w:t>
      </w:r>
      <w:proofErr w:type="spellStart"/>
      <w:r>
        <w:t>Маркеева</w:t>
      </w:r>
      <w:proofErr w:type="spellEnd"/>
      <w:r>
        <w:t xml:space="preserve"> А.В. Профессиональное обучение сотрудников старших возрастов в Рос‐ сии: проблемы и перспективы // Информационное общество. 2022. № 3. С. 49–60. DOI: 10.52605/16059921_2022_03_49. EDN: DVRSVO.</w:t>
      </w:r>
    </w:p>
    <w:p w:rsidR="000C4C1A" w:rsidRDefault="000C4C1A" w:rsidP="000C4C1A"/>
    <w:p w:rsidR="000C4C1A" w:rsidRDefault="000C4C1A" w:rsidP="000C4C1A">
      <w:r>
        <w:t xml:space="preserve">16. </w:t>
      </w:r>
      <w:proofErr w:type="spellStart"/>
      <w:r>
        <w:t>Агранович</w:t>
      </w:r>
      <w:proofErr w:type="spellEnd"/>
      <w:r>
        <w:t xml:space="preserve"> М. Оценка шансов на занятость работников </w:t>
      </w:r>
      <w:proofErr w:type="spellStart"/>
      <w:r>
        <w:t>предпенсионного</w:t>
      </w:r>
      <w:proofErr w:type="spellEnd"/>
      <w:r>
        <w:t xml:space="preserve"> и пенсионного возрастов // Экономическая политика. 2019. Т. 14. № 2. С. 90–109. EDN: ZEUZLN.</w:t>
      </w:r>
    </w:p>
    <w:p w:rsidR="000C4C1A" w:rsidRDefault="000C4C1A" w:rsidP="000C4C1A"/>
    <w:p w:rsidR="000C4C1A" w:rsidRDefault="000C4C1A" w:rsidP="000C4C1A">
      <w:r>
        <w:t xml:space="preserve">17. Коршунов И.А., </w:t>
      </w:r>
      <w:proofErr w:type="spellStart"/>
      <w:r>
        <w:t>Тюнин</w:t>
      </w:r>
      <w:proofErr w:type="spellEnd"/>
      <w:r>
        <w:t xml:space="preserve"> А.М., </w:t>
      </w:r>
      <w:proofErr w:type="spellStart"/>
      <w:r>
        <w:t>Ширкова</w:t>
      </w:r>
      <w:proofErr w:type="spellEnd"/>
      <w:r>
        <w:t xml:space="preserve"> Н.Н. [и др.]. Как учатся взрослые: факторы выбора образовательных программ // Мониторинг общественного мнения: экономические и социальные перемены. 2021. № 2 (162). С. 286–314. DOI: 10.14515/monitoring.2021.2.1627. EDN: GSTTOJ.</w:t>
      </w:r>
    </w:p>
    <w:p w:rsidR="000C4C1A" w:rsidRDefault="000C4C1A" w:rsidP="000C4C1A"/>
    <w:p w:rsidR="000C4C1A" w:rsidRDefault="000C4C1A" w:rsidP="000C4C1A">
      <w:r>
        <w:t xml:space="preserve">18. </w:t>
      </w:r>
      <w:proofErr w:type="spellStart"/>
      <w:r>
        <w:t>Кязимов</w:t>
      </w:r>
      <w:proofErr w:type="spellEnd"/>
      <w:r>
        <w:t xml:space="preserve"> К.Г. Профессиональное обучение и содействие занятости лиц пожилого возраста в условиях пенсионной реформы // Профессиональное образование в современном мире. 2018. Т. 8. № 4. С. 2246–2254. DOI: 10.15372/PEMW20180412. EDN: YVYKNN.</w:t>
      </w:r>
    </w:p>
    <w:p w:rsidR="000C4C1A" w:rsidRDefault="000C4C1A" w:rsidP="000C4C1A"/>
    <w:p w:rsidR="000C4C1A" w:rsidRDefault="000C4C1A" w:rsidP="000C4C1A">
      <w:r>
        <w:t xml:space="preserve">19. </w:t>
      </w:r>
      <w:proofErr w:type="spellStart"/>
      <w:r>
        <w:t>Амбарова</w:t>
      </w:r>
      <w:proofErr w:type="spellEnd"/>
      <w:r>
        <w:t xml:space="preserve"> П.А., </w:t>
      </w:r>
      <w:proofErr w:type="spellStart"/>
      <w:r>
        <w:t>Зборовский</w:t>
      </w:r>
      <w:proofErr w:type="spellEnd"/>
      <w:r>
        <w:t xml:space="preserve"> Г.Е. Профессиональное образование для людей “серебряного возраста” // Образование и наука. 2019. Т. 21. № 10. С. 59–88. DOI: 10.17853/1994-5639-2019-10-59-88. EDN: MYVMNR.</w:t>
      </w:r>
    </w:p>
    <w:p w:rsidR="000C4C1A" w:rsidRDefault="000C4C1A" w:rsidP="000C4C1A"/>
    <w:p w:rsidR="000C4C1A" w:rsidRDefault="000C4C1A" w:rsidP="000C4C1A">
      <w:r>
        <w:t xml:space="preserve">20. </w:t>
      </w:r>
      <w:proofErr w:type="spellStart"/>
      <w:r>
        <w:t>Гарафутдинова</w:t>
      </w:r>
      <w:proofErr w:type="spellEnd"/>
      <w:r>
        <w:t xml:space="preserve"> Н.Я., Росляков А.Е. Психологическая составляющая </w:t>
      </w:r>
      <w:proofErr w:type="spellStart"/>
      <w:r>
        <w:t>профобучения</w:t>
      </w:r>
      <w:proofErr w:type="spellEnd"/>
      <w:r>
        <w:t xml:space="preserve"> категории 50+ // Кадровик. 2020. № 6. С. 104–111. EDN: YUIBWZ.</w:t>
      </w:r>
    </w:p>
    <w:p w:rsidR="000C4C1A" w:rsidRDefault="000C4C1A" w:rsidP="000C4C1A"/>
    <w:p w:rsidR="000C4C1A" w:rsidRDefault="000C4C1A" w:rsidP="000C4C1A">
      <w:r>
        <w:t xml:space="preserve">21. </w:t>
      </w:r>
      <w:proofErr w:type="spellStart"/>
      <w:r>
        <w:t>Зеер</w:t>
      </w:r>
      <w:proofErr w:type="spellEnd"/>
      <w:r>
        <w:t xml:space="preserve"> Э.Ф., </w:t>
      </w:r>
      <w:proofErr w:type="spellStart"/>
      <w:r>
        <w:t>Сыманюк</w:t>
      </w:r>
      <w:proofErr w:type="spellEnd"/>
      <w:r>
        <w:t xml:space="preserve"> Э.Э., </w:t>
      </w:r>
      <w:proofErr w:type="spellStart"/>
      <w:r>
        <w:t>Буковей</w:t>
      </w:r>
      <w:proofErr w:type="spellEnd"/>
      <w:r>
        <w:t xml:space="preserve"> Т.Д. Стратегии и технологии преодоления конфликтующих реальностей в жизнедеятельности людей в возрасте поздней зрелости // Педагогическое образование в России. 2020. № 4. С. 152–161. EDN: XRAXLO.</w:t>
      </w:r>
    </w:p>
    <w:p w:rsidR="000C4C1A" w:rsidRDefault="000C4C1A" w:rsidP="000C4C1A"/>
    <w:p w:rsidR="000C4C1A" w:rsidRDefault="000C4C1A" w:rsidP="000C4C1A">
      <w:r>
        <w:t xml:space="preserve">22. </w:t>
      </w:r>
      <w:proofErr w:type="spellStart"/>
      <w:r>
        <w:t>Брачун</w:t>
      </w:r>
      <w:proofErr w:type="spellEnd"/>
      <w:r>
        <w:t xml:space="preserve"> Т.А., Желтова И.А. Особенности обучения людей пожилого возраста использованию современных информационных техно‐ логий // Проблемы и перспективы развития образования в России. 2012. № 14. С. 285–289. EDN: RINFWJ.</w:t>
      </w:r>
    </w:p>
    <w:p w:rsidR="000C4C1A" w:rsidRDefault="000C4C1A" w:rsidP="000C4C1A"/>
    <w:p w:rsidR="000C4C1A" w:rsidRPr="000C4C1A" w:rsidRDefault="000C4C1A" w:rsidP="000C4C1A">
      <w:pPr>
        <w:rPr>
          <w:lang w:val="en-US"/>
        </w:rPr>
      </w:pPr>
      <w:r>
        <w:t xml:space="preserve">23. </w:t>
      </w:r>
      <w:proofErr w:type="spellStart"/>
      <w:r>
        <w:t>Киселева</w:t>
      </w:r>
      <w:proofErr w:type="spellEnd"/>
      <w:r>
        <w:t xml:space="preserve"> О.М., Быков А.А. Особенности обучения пожилых людей информационным технологиям // Системы компьютерной математики и их приложения. </w:t>
      </w:r>
      <w:r w:rsidRPr="000C4C1A">
        <w:rPr>
          <w:lang w:val="en-US"/>
        </w:rPr>
        <w:t xml:space="preserve">2019. № 20-2. </w:t>
      </w:r>
      <w:r>
        <w:t>С</w:t>
      </w:r>
      <w:r w:rsidRPr="000C4C1A">
        <w:rPr>
          <w:lang w:val="en-US"/>
        </w:rPr>
        <w:t>. 190–194. EDN: MPBEPI.</w:t>
      </w:r>
    </w:p>
    <w:p w:rsidR="000C4C1A" w:rsidRPr="000C4C1A" w:rsidRDefault="000C4C1A" w:rsidP="000C4C1A">
      <w:pPr>
        <w:rPr>
          <w:lang w:val="en-US"/>
        </w:rPr>
      </w:pPr>
    </w:p>
    <w:p w:rsidR="000C4C1A" w:rsidRPr="000C4C1A" w:rsidRDefault="000C4C1A" w:rsidP="000C4C1A">
      <w:pPr>
        <w:rPr>
          <w:lang w:val="en-US"/>
        </w:rPr>
      </w:pPr>
      <w:r w:rsidRPr="000C4C1A">
        <w:rPr>
          <w:lang w:val="en-US"/>
        </w:rPr>
        <w:lastRenderedPageBreak/>
        <w:t>24. Armstrong-Stassen M., Ursel N.D. (2019). Perceived organizational support, career satisfac‐ tion, and the retention of older workers, Journal of Occupational and Organizational Psychology, no. 82, pp. 201–220.</w:t>
      </w:r>
    </w:p>
    <w:p w:rsidR="000C4C1A" w:rsidRPr="000C4C1A" w:rsidRDefault="000C4C1A" w:rsidP="000C4C1A">
      <w:pPr>
        <w:rPr>
          <w:lang w:val="en-US"/>
        </w:rPr>
      </w:pPr>
    </w:p>
    <w:p w:rsidR="000C4C1A" w:rsidRDefault="000C4C1A" w:rsidP="000C4C1A">
      <w:r>
        <w:t xml:space="preserve">25. </w:t>
      </w:r>
      <w:proofErr w:type="spellStart"/>
      <w:r>
        <w:t>Гимпельсон</w:t>
      </w:r>
      <w:proofErr w:type="spellEnd"/>
      <w:r>
        <w:t xml:space="preserve"> В.Е., Зинченко Д.И. Цена возраста: заработная плата работников в старших возрастах // Вопросы экономики. 2019. № 11. С. 35–62. EDN: NUUWEA.</w:t>
      </w:r>
    </w:p>
    <w:p w:rsidR="000C4C1A" w:rsidRDefault="000C4C1A" w:rsidP="000C4C1A">
      <w:bookmarkStart w:id="0" w:name="_GoBack"/>
      <w:bookmarkEnd w:id="0"/>
    </w:p>
    <w:sectPr w:rsidR="000C4C1A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1A"/>
    <w:rsid w:val="00017B57"/>
    <w:rsid w:val="000706E4"/>
    <w:rsid w:val="00077F28"/>
    <w:rsid w:val="000C4C1A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66EF"/>
  <w15:chartTrackingRefBased/>
  <w15:docId w15:val="{39AB9618-983B-E141-B97C-B0079815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4845</Characters>
  <Application>Microsoft Office Word</Application>
  <DocSecurity>0</DocSecurity>
  <Lines>134</Lines>
  <Paragraphs>77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2025-07-25T17:49:00Z</dcterms:created>
  <dcterms:modified xsi:type="dcterms:W3CDTF">2025-07-25T17:50:00Z</dcterms:modified>
</cp:coreProperties>
</file>