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F0DEA" w:rsidRDefault="006F0DEA" w:rsidP="006F0DEA">
      <w:r>
        <w:t>REFERENCES</w:t>
      </w:r>
    </w:p>
    <w:p w:rsidR="006F0DEA" w:rsidRDefault="006F0DEA" w:rsidP="006F0DEA"/>
    <w:p w:rsidR="006F0DEA" w:rsidRDefault="006F0DEA" w:rsidP="006F0DEA">
      <w:r>
        <w:t>1. Lebedev A.N. (2014). The referendum of the Russian Federation as the highest legal form of political self-government of Russian citizens, Pro‐ ceedings of the Institute of State and Law of the Rus‐ sian Academy of Sciences, no. 5, pp. 70–95.</w:t>
      </w:r>
    </w:p>
    <w:p w:rsidR="006F0DEA" w:rsidRDefault="006F0DEA" w:rsidP="006F0DEA"/>
    <w:p w:rsidR="006F0DEA" w:rsidRDefault="006F0DEA" w:rsidP="006F0DEA">
      <w:r>
        <w:t>2. Khudoley K.M. (2019). On the results of elec‐ tion campaigns and a referendum campaign in 2018, Ex Jure, no. 2, pp. 19–29.</w:t>
      </w:r>
    </w:p>
    <w:p w:rsidR="006F0DEA" w:rsidRDefault="006F0DEA" w:rsidP="006F0DEA"/>
    <w:p w:rsidR="006F0DEA" w:rsidRDefault="006F0DEA" w:rsidP="006F0DEA">
      <w:r>
        <w:t>3. Mandryka E.V. (2013). Constitutional and legal regulation of referenda in post-socialist states: general and special, Theory and practice of juris‐ prudence, no. 1 (3), pp. 1–15.</w:t>
      </w:r>
    </w:p>
    <w:p w:rsidR="006F0DEA" w:rsidRDefault="006F0DEA" w:rsidP="006F0DEA"/>
    <w:p w:rsidR="006F0DEA" w:rsidRDefault="006F0DEA" w:rsidP="006F0DEA">
      <w:r>
        <w:t>4. Lukashin A.V. (2011). Problems of organiz‐ ing and conducting the All-Union referendum on March 17, 1991 and the development paths of the Union Federation, Public Administration. Electronic Bulletin, no. 28 p. 1–29.</w:t>
      </w:r>
    </w:p>
    <w:p w:rsidR="006F0DEA" w:rsidRDefault="006F0DEA" w:rsidP="006F0DEA"/>
    <w:p w:rsidR="006F0DEA" w:rsidRDefault="006F0DEA" w:rsidP="006F0DEA">
      <w:r>
        <w:t>5. Borisov N.A. (2020). Between ideology and law: legal and political aspects of the withdrawal of the Union republics from the USSR, New His‐ torical Bulletin, no. 4 (66), pp. 48–65.</w:t>
      </w:r>
    </w:p>
    <w:p w:rsidR="006F0DEA" w:rsidRDefault="006F0DEA" w:rsidP="006F0DEA"/>
    <w:p w:rsidR="006F0DEA" w:rsidRDefault="006F0DEA" w:rsidP="006F0DEA">
      <w:r>
        <w:t>6. Gorin V.S. (2015). Political and legal aspects of the referendum on the preservation of the USSR, Innovation and Investments, no. 4, pp. 24–26.</w:t>
      </w:r>
    </w:p>
    <w:p w:rsidR="006F0DEA" w:rsidRDefault="006F0DEA" w:rsidP="006F0DEA"/>
    <w:p w:rsidR="006F0DEA" w:rsidRDefault="006F0DEA" w:rsidP="006F0DEA">
      <w:r>
        <w:t>7. Zaznaev O.I. (2021). Ethnic conflict and form of government: modern discussions, Polis. Political research, no. 1, pp. 25–40.</w:t>
      </w:r>
    </w:p>
    <w:p w:rsidR="006F0DEA" w:rsidRDefault="006F0DEA" w:rsidP="006F0DEA"/>
    <w:p w:rsidR="006F0DEA" w:rsidRDefault="006F0DEA" w:rsidP="006F0DEA">
      <w:r>
        <w:t>8. Babayan M.V. (2018). The role of the “Abkhaz letter” in ethnopolitical events in the Georgian SSR in 1989, Bulletin of Moscow University. Series 8. His‐ tory, no. 1, pp. 66–74.</w:t>
      </w:r>
    </w:p>
    <w:p w:rsidR="006F0DEA" w:rsidRDefault="006F0DEA" w:rsidP="006F0DEA"/>
    <w:p w:rsidR="006F0DEA" w:rsidRDefault="006F0DEA" w:rsidP="006F0DEA">
      <w:r>
        <w:t>9. Bagdasaryan A.A.(2018). The Armenian Apos‐ tolic Church and the Soviet state: Features of rela‐ tions, Bulletin of Moscow University. Series 8: His‐ tory, no. 1, pp. 75–87.</w:t>
      </w:r>
    </w:p>
    <w:p w:rsidR="006F0DEA" w:rsidRDefault="006F0DEA" w:rsidP="006F0DEA"/>
    <w:p w:rsidR="006F0DEA" w:rsidRDefault="006F0DEA" w:rsidP="006F0DEA">
      <w:r>
        <w:t>10. Melik-Shakhnazarov A.A. (2018). The exit of the NKR from the Azerbaijan Republic in 1991, Post-Soviet Studies, vol. 1, no. 2, pp. 142–149.</w:t>
      </w:r>
    </w:p>
    <w:p w:rsidR="006F0DEA" w:rsidRDefault="006F0DEA" w:rsidP="006F0DEA"/>
    <w:p w:rsidR="006F0DEA" w:rsidRDefault="006F0DEA" w:rsidP="006F0DEA">
      <w:r>
        <w:t>11. Puchenkov A.S. (2020). Ethnic Disintegration and the Dissolution of the Ussr, Bulletin of St. Peters‐ burg University. History, vol. 65, iss. 3, pp. 826–841.</w:t>
      </w:r>
    </w:p>
    <w:p w:rsidR="006F0DEA" w:rsidRDefault="006F0DEA" w:rsidP="006F0DEA"/>
    <w:p w:rsidR="006F0DEA" w:rsidRDefault="006F0DEA" w:rsidP="006F0DEA">
      <w:r>
        <w:t>12. Devitsky E.I. (2017). Features of the or‐ ganization and holding of elections and referenda in the Kyrgyz Republic, Electoral Law, no. 1 (35), pp. 23–30.</w:t>
      </w:r>
    </w:p>
    <w:p w:rsidR="006F0DEA" w:rsidRDefault="006F0DEA" w:rsidP="006F0DEA"/>
    <w:p w:rsidR="006F0DEA" w:rsidRDefault="006F0DEA" w:rsidP="006F0DEA">
      <w:r>
        <w:t>13. Yunusova Kh.A. (2017). Some problems of organizing and conducting a referendum in the Kyrgyz Republic of 2016: constitutional and legal analysis, News of universities of Kyrgyzstan, no. 3, pp. 122–125.</w:t>
      </w:r>
    </w:p>
    <w:p w:rsidR="006F0DEA" w:rsidRDefault="006F0DEA" w:rsidP="006F0DEA"/>
    <w:p w:rsidR="006F0DEA" w:rsidRDefault="006F0DEA" w:rsidP="006F0DEA">
      <w:r>
        <w:t>14. Bibilunga N.V. (2010). “Voting with the legs” of the population of Bessarabia in 1940 – a real ref‐ erendum, Rusin, no. 1 (19), pp. 19–31.</w:t>
      </w:r>
    </w:p>
    <w:p w:rsidR="006F0DEA" w:rsidRDefault="006F0DEA" w:rsidP="006F0DEA"/>
    <w:p w:rsidR="006F0DEA" w:rsidRDefault="006F0DEA" w:rsidP="006F0DEA">
      <w:r>
        <w:t>15. Zhanuzakova L.T. (2018). To the issue of improving the legislation on referendum, Bulletin of the Institute of Legislation of the Republic of Kazakhstan, no. 1 (50), pp. 19–26.</w:t>
      </w:r>
    </w:p>
    <w:p w:rsidR="006F0DEA" w:rsidRDefault="006F0DEA" w:rsidP="006F0DEA"/>
    <w:p w:rsidR="006F0DEA" w:rsidRDefault="006F0DEA" w:rsidP="006F0DEA">
      <w:r>
        <w:t>16. Nechkin A.V. (2018). Constitutions of the CIS countries and other post-socialist states: a comparative legal review, Russian law: education, practice, science, no. 5, pp. 81–91.</w:t>
      </w:r>
    </w:p>
    <w:p w:rsidR="006F0DEA" w:rsidRDefault="006F0DEA" w:rsidP="006F0DEA"/>
    <w:p w:rsidR="006F0DEA" w:rsidRDefault="006F0DEA" w:rsidP="006F0DEA">
      <w:r>
        <w:t>17. Khrienko T.V. (2020). All-Ukrainian refer‐ endums: the main results and their consequences, Power, vol. 28, no. 1, pp. 238–245.</w:t>
      </w:r>
    </w:p>
    <w:p w:rsidR="006F0DEA" w:rsidRDefault="006F0DEA" w:rsidP="006F0DEA"/>
    <w:p w:rsidR="006F0DEA" w:rsidRDefault="006F0DEA" w:rsidP="006F0DEA">
      <w:r>
        <w:t>18. Latysh Yu.V. (2020). Ukrainian historiogra‐ phy of perestroika, Bulletin of St. Petersburg Uni‐ versity. History, vol. 65, iss. 3, pp. 975–989.</w:t>
      </w:r>
    </w:p>
    <w:p w:rsidR="006F0DEA" w:rsidRDefault="006F0DEA" w:rsidP="006F0DEA"/>
    <w:p w:rsidR="006F0DEA" w:rsidRDefault="006F0DEA" w:rsidP="006F0DEA">
      <w:r>
        <w:t>19. Oding N.Yu., Yushkov A.O., Savulkin L.I. (2019). The use of national languages as state in the republics of the Russian Federation: legal and eco‐ nomicaspects, Terra Economicus, no. 17, pp. 112–130.</w:t>
      </w:r>
    </w:p>
    <w:p w:rsidR="006F0DEA" w:rsidRDefault="006F0DEA" w:rsidP="006F0DEA"/>
    <w:p w:rsidR="006F0DEA" w:rsidRDefault="006F0DEA" w:rsidP="006F0DEA">
      <w:r>
        <w:t>20. Serikzhanova A.T. (2019). The legislative and legal field of the political participation of cit‐ izens in the Kyrgyz Republic, International Sci‐ entific Review, no. LXV, pp. 118–120.</w:t>
      </w:r>
    </w:p>
    <w:p w:rsidR="006F0DEA" w:rsidRDefault="006F0DEA" w:rsidP="006F0DEA"/>
    <w:p w:rsidR="006F0DEA" w:rsidRDefault="006F0DEA" w:rsidP="006F0DEA">
      <w:r>
        <w:t>21. Prokofiev V.N. (2017). The constitutional legal regulation of the powers of the president in the post-Soviet states of the Transcaucasia, Public Service, vol. 19, no. 5 (109), pp. 115–119.</w:t>
      </w:r>
    </w:p>
    <w:p w:rsidR="006F0DEA" w:rsidRDefault="006F0DEA" w:rsidP="006F0DEA"/>
    <w:p w:rsidR="006F0DEA" w:rsidRDefault="006F0DEA" w:rsidP="006F0DEA">
      <w:r>
        <w:t>22. Demichev D.M. (2013). Constitutional and legal practice of holding referenda in the Republic of Belarus, Legal science, no. 3, pp. 121–127.</w:t>
      </w:r>
    </w:p>
    <w:p w:rsidR="006F0DEA" w:rsidRDefault="006F0DEA" w:rsidP="006F0DEA"/>
    <w:p w:rsidR="006F0DEA" w:rsidRDefault="006F0DEA" w:rsidP="006F0DEA">
      <w:r>
        <w:t>23. Zaznaev O.I. (2009). Super-presidential sys‐ tems in Central Asian republics (on the example of Uzbekistan, Kazakhstan, Tajikistan and Kyrgyz‐ stan), Russiaandthe Muslimworld, no. 10, pp. 145–154.</w:t>
      </w:r>
    </w:p>
    <w:p w:rsidR="006F0DEA" w:rsidRDefault="006F0DEA" w:rsidP="006F0DEA"/>
    <w:p w:rsidR="006F0DEA" w:rsidRDefault="006F0DEA" w:rsidP="006F0DEA">
      <w:r>
        <w:t>24. Dotsenko V.V. (2014). Trends in the devel‐ opment of parliamentarism in Ukraine (on the ex‐ ample of a referendum 2000), Scientific Notes of the Tauride National University named after V.I. Ver‐ nadsky. Series: Philosophy. Culturology. Political sci‐ ence. Sociology, vol. 27, no. 1–2 (66), pp. 346–348.</w:t>
      </w:r>
    </w:p>
    <w:p w:rsidR="006F0DEA" w:rsidRDefault="006F0DEA" w:rsidP="006F0DEA"/>
    <w:p w:rsidR="006F0DEA" w:rsidRDefault="006F0DEA" w:rsidP="006F0DEA">
      <w:r>
        <w:t>25. Eyvazov Kh., Suleymanov D. (2021). Main provisions of the constitutional legislation of the Republic of Azerbaijan on referendum, Bulletin of Moscow University of the Ministry of Internal Affairs of Russia, no. 3, pp. 58–61.</w:t>
      </w:r>
    </w:p>
    <w:p w:rsidR="006F0DEA" w:rsidRDefault="006F0DEA" w:rsidP="006F0DEA"/>
    <w:p w:rsidR="006F0DEA" w:rsidRDefault="006F0DEA" w:rsidP="006F0DEA">
      <w:r>
        <w:t>26. Nechkin A.V. (2018). Constitutional con‐ trol bodies of the CIS countries: the procedure for formation and competence, Scientific annual philo‐ sophy and law of the Ural Branch of the Russian Academy of Sciences, vol. 18, iss. 4, pp. 75–96.</w:t>
      </w:r>
    </w:p>
    <w:p w:rsidR="006F0DEA" w:rsidRDefault="006F0DEA" w:rsidP="006F0DEA"/>
    <w:p w:rsidR="006F0DEA" w:rsidRDefault="006F0DEA" w:rsidP="006F0DEA">
      <w:r>
        <w:t>27. Artemov O.E. (2017). The constitutional legal status of the Central Commission of the Re‐ public of Belarus for the election and conduct of republican referenda, Science. Society. State, vol. 5, no. 1 (17), pp. 86–93.</w:t>
      </w:r>
    </w:p>
    <w:p w:rsidR="006F0DEA" w:rsidRDefault="006F0DEA" w:rsidP="006F0DEA"/>
    <w:p w:rsidR="006F0DEA" w:rsidRDefault="006F0DEA" w:rsidP="006F0DEA">
      <w:r>
        <w:t>28. Shustrov D.G. (2018). Mechanisms for en‐ suring the stability of the Constitution in Post-So‐ viet states, Journal of foreign legislation and com‐ parative law, no. 4 (71), pp. 20–29.</w:t>
      </w:r>
    </w:p>
    <w:p w:rsidR="006F0DEA" w:rsidRDefault="006F0DEA" w:rsidP="006F0DEA"/>
    <w:p w:rsidR="00DA45C1" w:rsidRDefault="006F0DEA" w:rsidP="006F0DEA">
      <w:r>
        <w:t>29. Khudoley K.M. (2020). Forms of the state of foreign countries of the CIS and Baltic, Bulletin of the Prikamsky Social Ins</w:t>
      </w:r>
      <w:bookmarkStart w:id="0" w:name="_GoBack"/>
      <w:bookmarkEnd w:id="0"/>
    </w:p>
    <w:sectPr w:rsidR="00DA45C1" w:rsidSect="00520FDA">
      <w:pgSz w:w="11900" w:h="16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1"/>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0DEA"/>
    <w:rsid w:val="00017B57"/>
    <w:rsid w:val="000706E4"/>
    <w:rsid w:val="00077F28"/>
    <w:rsid w:val="00275775"/>
    <w:rsid w:val="00422AC7"/>
    <w:rsid w:val="00520FDA"/>
    <w:rsid w:val="005A30F3"/>
    <w:rsid w:val="006F0DEA"/>
    <w:rsid w:val="00A63ADC"/>
    <w:rsid w:val="00B20582"/>
    <w:rsid w:val="00B425C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97B32D1-5007-9740-A323-BF112EE17F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ru-RU"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6F0DE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750</Words>
  <Characters>4581</Characters>
  <Application>Microsoft Office Word</Application>
  <DocSecurity>0</DocSecurity>
  <Lines>127</Lines>
  <Paragraphs>73</Paragraphs>
  <ScaleCrop>false</ScaleCrop>
  <Company/>
  <LinksUpToDate>false</LinksUpToDate>
  <CharactersWithSpaces>5258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2025-07-25T17:36:00Z</dcterms:created>
  <dcterms:modified xsi:type="dcterms:W3CDTF">2025-07-25T17:37:00Z</dcterms:modified>
</cp:coreProperties>
</file>