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3B7BC2">
      <w:r>
        <w:t>Список источников</w:t>
      </w:r>
    </w:p>
    <w:p w:rsidR="003B7BC2" w:rsidRDefault="003B7BC2" w:rsidP="003B7BC2">
      <w:r>
        <w:t>1. Лебедев А.Н. Референдум Российской Федерации как Высшая правовая форма политического самоуправления граждан России // Тру‐ ды Института государства и права Российской академии наук. 2014. № 5. С. 70–95.</w:t>
      </w:r>
    </w:p>
    <w:p w:rsidR="003B7BC2" w:rsidRDefault="003B7BC2" w:rsidP="003B7BC2"/>
    <w:p w:rsidR="003B7BC2" w:rsidRDefault="003B7BC2" w:rsidP="003B7BC2">
      <w:r>
        <w:t>2. Худолей К.М. Об итогах избирательных кампаний и кампании по проведению референдума в 2018 г. // Ex jure. 2019. № 2. С. 19–29.</w:t>
      </w:r>
    </w:p>
    <w:p w:rsidR="003B7BC2" w:rsidRDefault="003B7BC2" w:rsidP="003B7BC2"/>
    <w:p w:rsidR="003B7BC2" w:rsidRDefault="003B7BC2" w:rsidP="003B7BC2">
      <w:r>
        <w:t>3. Мандрыка Е.В. Конституционно-право‐ вое регулирование референдумов в постсоциалистических государствах: общее и особенное // Теорія і практика правознавства. 2013. № 1 (3). С. 1–15.</w:t>
      </w:r>
    </w:p>
    <w:p w:rsidR="003B7BC2" w:rsidRDefault="003B7BC2" w:rsidP="003B7BC2"/>
    <w:p w:rsidR="003B7BC2" w:rsidRDefault="003B7BC2" w:rsidP="003B7BC2">
      <w:r>
        <w:t>4. Лукашин А.В. Проблемы организации и проведения Всесоюзного референдума 17 марта 1991 года и пути развития союзной федерации // Государственное управление. Электронный вестник. 2011. № 28 С. 1–29.</w:t>
      </w:r>
    </w:p>
    <w:p w:rsidR="003B7BC2" w:rsidRDefault="003B7BC2" w:rsidP="003B7BC2"/>
    <w:p w:rsidR="003B7BC2" w:rsidRDefault="003B7BC2" w:rsidP="003B7BC2">
      <w:r>
        <w:t>5. Борисов Н.А. Между идеологией и правом: Правовые и политические аспекты выхода союзных республик из СССР // Новый исторический вестник. 2020. № 4 (66). С. 48–65.</w:t>
      </w:r>
    </w:p>
    <w:p w:rsidR="003B7BC2" w:rsidRDefault="003B7BC2" w:rsidP="003B7BC2"/>
    <w:p w:rsidR="003B7BC2" w:rsidRDefault="003B7BC2" w:rsidP="003B7BC2">
      <w:r>
        <w:t>6. Горин В.С. Политико-правовые аспекты проведения референдума о сохранении СССР // Инновации и инвестиции. 2015. № 4. С. 24–26.</w:t>
      </w:r>
    </w:p>
    <w:p w:rsidR="003B7BC2" w:rsidRDefault="003B7BC2" w:rsidP="003B7BC2"/>
    <w:p w:rsidR="003B7BC2" w:rsidRDefault="003B7BC2" w:rsidP="003B7BC2">
      <w:r>
        <w:t>7. Зазнаев О.И. Этнический конфликт и форма правления: современные дискуссии // Полис. Политические исследования. 2021. № 1. С. 25–40.</w:t>
      </w:r>
    </w:p>
    <w:p w:rsidR="003B7BC2" w:rsidRDefault="003B7BC2" w:rsidP="003B7BC2"/>
    <w:p w:rsidR="003B7BC2" w:rsidRDefault="003B7BC2" w:rsidP="003B7BC2">
      <w:r>
        <w:t>8. Бабаян М.В. Роль «Абхазского письма» в этнополитических событиях в грузинской ССР 1989 г. // Вестник Московского университета. Серия 8. История. 2018. № 1. С. 66–74.</w:t>
      </w:r>
    </w:p>
    <w:p w:rsidR="003B7BC2" w:rsidRDefault="003B7BC2" w:rsidP="003B7BC2"/>
    <w:p w:rsidR="003B7BC2" w:rsidRDefault="003B7BC2" w:rsidP="003B7BC2">
      <w:r>
        <w:t>9. Багдасарян А.А. Армянская апостольская церковь и советское государство: особенности взаимоотношений // Вестник Московского университета. Серия 8: История. 2018. № 1. С. 75–87.</w:t>
      </w:r>
    </w:p>
    <w:p w:rsidR="003B7BC2" w:rsidRDefault="003B7BC2" w:rsidP="003B7BC2"/>
    <w:p w:rsidR="003B7BC2" w:rsidRPr="003B7BC2" w:rsidRDefault="003B7BC2" w:rsidP="003B7BC2">
      <w:pPr>
        <w:rPr>
          <w:lang w:val="en-US"/>
        </w:rPr>
      </w:pPr>
      <w:r>
        <w:t xml:space="preserve">10. Мелик-Шахназаров А.А. Выход НКР из Азербайджанской Республики в 1991 г. // Пост‐ советские исследования. </w:t>
      </w:r>
      <w:r w:rsidRPr="003B7BC2">
        <w:rPr>
          <w:lang w:val="en-US"/>
        </w:rPr>
        <w:t xml:space="preserve">2018. </w:t>
      </w:r>
      <w:r>
        <w:t>Т</w:t>
      </w:r>
      <w:r w:rsidRPr="003B7BC2">
        <w:rPr>
          <w:lang w:val="en-US"/>
        </w:rPr>
        <w:t xml:space="preserve">. 1. № 2. </w:t>
      </w:r>
      <w:r>
        <w:t>С</w:t>
      </w:r>
      <w:r w:rsidRPr="003B7BC2">
        <w:rPr>
          <w:lang w:val="en-US"/>
        </w:rPr>
        <w:t>. 142–149.</w:t>
      </w:r>
    </w:p>
    <w:p w:rsidR="003B7BC2" w:rsidRPr="003B7BC2" w:rsidRDefault="003B7BC2" w:rsidP="003B7BC2">
      <w:pPr>
        <w:rPr>
          <w:lang w:val="en-US"/>
        </w:rPr>
      </w:pPr>
    </w:p>
    <w:p w:rsidR="003B7BC2" w:rsidRDefault="003B7BC2" w:rsidP="003B7BC2">
      <w:r w:rsidRPr="003B7BC2">
        <w:rPr>
          <w:lang w:val="en-US"/>
        </w:rPr>
        <w:t xml:space="preserve">11. </w:t>
      </w:r>
      <w:r>
        <w:t>Пученков</w:t>
      </w:r>
      <w:r w:rsidRPr="003B7BC2">
        <w:rPr>
          <w:lang w:val="en-US"/>
        </w:rPr>
        <w:t xml:space="preserve"> </w:t>
      </w:r>
      <w:r>
        <w:t>А</w:t>
      </w:r>
      <w:r w:rsidRPr="003B7BC2">
        <w:rPr>
          <w:lang w:val="en-US"/>
        </w:rPr>
        <w:t>.</w:t>
      </w:r>
      <w:r>
        <w:t>С</w:t>
      </w:r>
      <w:r w:rsidRPr="003B7BC2">
        <w:rPr>
          <w:lang w:val="en-US"/>
        </w:rPr>
        <w:t xml:space="preserve">. Ethnic Disintegration and the Dissolution of the USSR // </w:t>
      </w:r>
      <w:r>
        <w:t>Вестник</w:t>
      </w:r>
      <w:r w:rsidRPr="003B7BC2">
        <w:rPr>
          <w:lang w:val="en-US"/>
        </w:rPr>
        <w:t xml:space="preserve"> </w:t>
      </w:r>
      <w:r>
        <w:t>Санкт</w:t>
      </w:r>
      <w:r w:rsidRPr="003B7BC2">
        <w:rPr>
          <w:lang w:val="en-US"/>
        </w:rPr>
        <w:t xml:space="preserve">- </w:t>
      </w:r>
      <w:r>
        <w:t>Петербургского</w:t>
      </w:r>
      <w:r w:rsidRPr="003B7BC2">
        <w:rPr>
          <w:lang w:val="en-US"/>
        </w:rPr>
        <w:t xml:space="preserve"> </w:t>
      </w:r>
      <w:r>
        <w:t>университета</w:t>
      </w:r>
      <w:r w:rsidRPr="003B7BC2">
        <w:rPr>
          <w:lang w:val="en-US"/>
        </w:rPr>
        <w:t xml:space="preserve">. </w:t>
      </w:r>
      <w:r>
        <w:t>История. 2020. Т. 65. Вып. 3. С. 826–841.</w:t>
      </w:r>
    </w:p>
    <w:p w:rsidR="003B7BC2" w:rsidRDefault="003B7BC2" w:rsidP="003B7BC2"/>
    <w:p w:rsidR="003B7BC2" w:rsidRDefault="003B7BC2" w:rsidP="003B7BC2">
      <w:r>
        <w:t>12. Девицкий Э.И. Особенности организации и проведения выборов и референдумов в Кыргызской республике // Избирательное право. 2017. № 1 (35). С. 23–30.</w:t>
      </w:r>
    </w:p>
    <w:p w:rsidR="003B7BC2" w:rsidRDefault="003B7BC2" w:rsidP="003B7BC2"/>
    <w:p w:rsidR="003B7BC2" w:rsidRDefault="003B7BC2" w:rsidP="003B7BC2">
      <w:r>
        <w:t>13. Юнусова Х.А. Некоторые проблемы организации и проведения референдума в Кыр‐ гызской Республике 2016 года: конституцион‐ но-правовой анализ // Известия ВУЗов Кыр‐ гызстана. 2017. № 3. С. 122–125.</w:t>
      </w:r>
    </w:p>
    <w:p w:rsidR="003B7BC2" w:rsidRDefault="003B7BC2" w:rsidP="003B7BC2"/>
    <w:p w:rsidR="003B7BC2" w:rsidRDefault="003B7BC2" w:rsidP="003B7BC2">
      <w:r>
        <w:t>14. Бибилунга Н.В. «Голосование ногами» населения Бессарабии в 1940 г. – реальный референдум // Русин. 2010. № 1 (19). С. 19–31.</w:t>
      </w:r>
    </w:p>
    <w:p w:rsidR="003B7BC2" w:rsidRDefault="003B7BC2" w:rsidP="003B7BC2"/>
    <w:p w:rsidR="003B7BC2" w:rsidRDefault="003B7BC2" w:rsidP="003B7BC2">
      <w:r>
        <w:lastRenderedPageBreak/>
        <w:t>15. Жанузакова Л.Т. К вопросу о совершенствовании законодательства о референдуме // Вестник Института законодательства Республики Казахстан. 2018. № 1 (50). С. 19–26.</w:t>
      </w:r>
    </w:p>
    <w:p w:rsidR="003B7BC2" w:rsidRDefault="003B7BC2" w:rsidP="003B7BC2"/>
    <w:p w:rsidR="003B7BC2" w:rsidRDefault="003B7BC2" w:rsidP="003B7BC2">
      <w:r>
        <w:t>16. Нечкин А.В. Конституции стран СНГ и других постсоциалистических государств: сравнительно-правовой обзор // Российское право: образование, практика, наука. 2018. № 5. С. 81–91.</w:t>
      </w:r>
    </w:p>
    <w:p w:rsidR="003B7BC2" w:rsidRDefault="003B7BC2" w:rsidP="003B7BC2"/>
    <w:p w:rsidR="003B7BC2" w:rsidRDefault="003B7BC2" w:rsidP="003B7BC2">
      <w:r>
        <w:t>17. Хриенко Т.В. Всеукраинские референдумы: основные итоги и их последствия // Власть. 2020. Т. 28. № 1. С. 238–245.</w:t>
      </w:r>
    </w:p>
    <w:p w:rsidR="003B7BC2" w:rsidRDefault="003B7BC2" w:rsidP="003B7BC2"/>
    <w:p w:rsidR="003B7BC2" w:rsidRDefault="003B7BC2" w:rsidP="003B7BC2">
      <w:r>
        <w:t>18. Латыш Ю.В. Украинская историография перестройки // Вестник Санкт-Петербургского университета. История. 2020. Т. 65. Вып. 3. С. 975–989.</w:t>
      </w:r>
    </w:p>
    <w:p w:rsidR="003B7BC2" w:rsidRDefault="003B7BC2" w:rsidP="003B7BC2"/>
    <w:p w:rsidR="003B7BC2" w:rsidRDefault="003B7BC2" w:rsidP="003B7BC2">
      <w:r>
        <w:t>19. Одинг Н.Ю., Юшков А.О., Савулькин Л.И. Использование национальных языков как государственных в республиках РФ: правовые и экономические аспекты // Terra Economicus. 2019. № 17. С. 112–130.</w:t>
      </w:r>
    </w:p>
    <w:p w:rsidR="003B7BC2" w:rsidRDefault="003B7BC2" w:rsidP="003B7BC2"/>
    <w:p w:rsidR="003B7BC2" w:rsidRDefault="003B7BC2" w:rsidP="003B7BC2">
      <w:r>
        <w:t>20. Серикжанова А.Т. Законодательно-правовое поле политического участия граждан в Кыргызской республике // International scien‐ tific review. 2019. № LXV. С. 118–120.</w:t>
      </w:r>
    </w:p>
    <w:p w:rsidR="003B7BC2" w:rsidRDefault="003B7BC2" w:rsidP="003B7BC2"/>
    <w:p w:rsidR="003B7BC2" w:rsidRDefault="003B7BC2" w:rsidP="003B7BC2">
      <w:r>
        <w:t>21. Прокофьев В.Н. Конституционно-правовая регламентация полномочий Президента в постсоветских государствах Закавказья // Государственная служба. 2017. Т. 19. № 5 (109). С. 115–119.</w:t>
      </w:r>
    </w:p>
    <w:p w:rsidR="003B7BC2" w:rsidRDefault="003B7BC2" w:rsidP="003B7BC2"/>
    <w:p w:rsidR="003B7BC2" w:rsidRDefault="003B7BC2" w:rsidP="003B7BC2">
      <w:r>
        <w:t>22. Демичев Д.М. Конституционно-правовая практика проведения референдумов в Республике Беларусь // Юридическая наука. 2013.</w:t>
      </w:r>
    </w:p>
    <w:p w:rsidR="003B7BC2" w:rsidRDefault="003B7BC2" w:rsidP="003B7BC2"/>
    <w:p w:rsidR="003B7BC2" w:rsidRDefault="003B7BC2" w:rsidP="003B7BC2">
      <w:r>
        <w:t>№ 3. С. 121–127.</w:t>
      </w:r>
    </w:p>
    <w:p w:rsidR="003B7BC2" w:rsidRDefault="003B7BC2" w:rsidP="003B7BC2"/>
    <w:p w:rsidR="003B7BC2" w:rsidRDefault="003B7BC2" w:rsidP="003B7BC2">
      <w:r>
        <w:t>23. Зазнаев О.И. Сверхпрезидентские системы в республиках центральной Азии (На при‐ мере Узбекистана, Казахстана, Таджикистана и Киргизии) // Россия и мусульманский мир. 2009. № 10. С. 145–154.</w:t>
      </w:r>
    </w:p>
    <w:p w:rsidR="003B7BC2" w:rsidRDefault="003B7BC2" w:rsidP="003B7BC2"/>
    <w:p w:rsidR="003B7BC2" w:rsidRPr="003B7BC2" w:rsidRDefault="003B7BC2" w:rsidP="003B7BC2">
      <w:pPr>
        <w:rPr>
          <w:lang w:val="en-US"/>
        </w:rPr>
      </w:pPr>
      <w:r>
        <w:t>24. Доценко В.В. Тенденции развития парламентаризма в Украине (на примере референдума 2000 г.) // Ученые записки Таврического национального университета имени В.И. Вернадского. Серия</w:t>
      </w:r>
      <w:r w:rsidRPr="003B7BC2">
        <w:rPr>
          <w:lang w:val="en-US"/>
        </w:rPr>
        <w:t xml:space="preserve">: </w:t>
      </w:r>
      <w:r>
        <w:t>Философия</w:t>
      </w:r>
      <w:r w:rsidRPr="003B7BC2">
        <w:rPr>
          <w:lang w:val="en-US"/>
        </w:rPr>
        <w:t xml:space="preserve">. </w:t>
      </w:r>
      <w:r>
        <w:t>Культурология</w:t>
      </w:r>
      <w:r w:rsidRPr="003B7BC2">
        <w:rPr>
          <w:lang w:val="en-US"/>
        </w:rPr>
        <w:t xml:space="preserve">. </w:t>
      </w:r>
      <w:r>
        <w:t>Политология</w:t>
      </w:r>
      <w:r w:rsidRPr="003B7BC2">
        <w:rPr>
          <w:lang w:val="en-US"/>
        </w:rPr>
        <w:t xml:space="preserve">. </w:t>
      </w:r>
      <w:r>
        <w:t>Социология</w:t>
      </w:r>
      <w:r w:rsidRPr="003B7BC2">
        <w:rPr>
          <w:lang w:val="en-US"/>
        </w:rPr>
        <w:t xml:space="preserve">. 2014. </w:t>
      </w:r>
      <w:r>
        <w:t>Т</w:t>
      </w:r>
      <w:r w:rsidRPr="003B7BC2">
        <w:rPr>
          <w:lang w:val="en-US"/>
        </w:rPr>
        <w:t>. 27. № 1–2 (66).</w:t>
      </w:r>
    </w:p>
    <w:p w:rsidR="003B7BC2" w:rsidRPr="003B7BC2" w:rsidRDefault="003B7BC2" w:rsidP="003B7BC2">
      <w:pPr>
        <w:rPr>
          <w:lang w:val="en-US"/>
        </w:rPr>
      </w:pPr>
    </w:p>
    <w:p w:rsidR="003B7BC2" w:rsidRPr="003B7BC2" w:rsidRDefault="003B7BC2" w:rsidP="003B7BC2">
      <w:pPr>
        <w:rPr>
          <w:lang w:val="en-US"/>
        </w:rPr>
      </w:pPr>
      <w:r>
        <w:t>С</w:t>
      </w:r>
      <w:r w:rsidRPr="003B7BC2">
        <w:rPr>
          <w:lang w:val="en-US"/>
        </w:rPr>
        <w:t>. 346–348.</w:t>
      </w:r>
    </w:p>
    <w:p w:rsidR="003B7BC2" w:rsidRPr="003B7BC2" w:rsidRDefault="003B7BC2" w:rsidP="003B7BC2">
      <w:pPr>
        <w:rPr>
          <w:lang w:val="en-US"/>
        </w:rPr>
      </w:pPr>
    </w:p>
    <w:p w:rsidR="003B7BC2" w:rsidRDefault="003B7BC2" w:rsidP="003B7BC2">
      <w:r w:rsidRPr="003B7BC2">
        <w:rPr>
          <w:lang w:val="en-US"/>
        </w:rPr>
        <w:t xml:space="preserve">25. Miskovsky J. (2008). The EU Referendum in the Baltic Countries: Impact Composition on the Voting Results, Central European Studies Review, vol. </w:t>
      </w:r>
      <w:r>
        <w:t>X, p. 2–3, pp. 161–185.</w:t>
      </w:r>
    </w:p>
    <w:p w:rsidR="003B7BC2" w:rsidRDefault="003B7BC2" w:rsidP="003B7BC2"/>
    <w:p w:rsidR="003B7BC2" w:rsidRDefault="003B7BC2" w:rsidP="003B7BC2">
      <w:r>
        <w:t>26. Эйвазов Х., Сулейманов Д. Основные положения Конституционного законодательства Азербайджанской Республики о референдуме // Вестник Московского университета МВД России. 2021. № 3. С. 58–61.</w:t>
      </w:r>
    </w:p>
    <w:p w:rsidR="003B7BC2" w:rsidRDefault="003B7BC2" w:rsidP="003B7BC2"/>
    <w:p w:rsidR="003B7BC2" w:rsidRDefault="003B7BC2" w:rsidP="003B7BC2">
      <w:r>
        <w:lastRenderedPageBreak/>
        <w:t>27. Нечкин А.В. Органы конституционного контроля стран СНГ: порядок формирования и компетенция // Научный ежегодник Института философии и права УрО РАН. 2018. Т. 18. Вып. 4. С. 75–96.</w:t>
      </w:r>
    </w:p>
    <w:p w:rsidR="003B7BC2" w:rsidRDefault="003B7BC2" w:rsidP="003B7BC2"/>
    <w:p w:rsidR="003B7BC2" w:rsidRDefault="003B7BC2" w:rsidP="003B7BC2">
      <w:r>
        <w:t>28. Артемов О.Е. Конституционно-право‐ вой статус центральной комиссии республики Беларусь по выборам и проведению республиканских референдумов // Наука. Общество. Государство. 2017. Т. 5. № 1 (17). С. 86–93.</w:t>
      </w:r>
    </w:p>
    <w:p w:rsidR="003B7BC2" w:rsidRDefault="003B7BC2" w:rsidP="003B7BC2"/>
    <w:p w:rsidR="003B7BC2" w:rsidRDefault="003B7BC2" w:rsidP="003B7BC2">
      <w:r>
        <w:t>29. Шустров Д.Г. Механизмы обеспечения стабильности Конституции в постсоветских государствах // Журнал зарубежного законодательства и сравнительного правоведения. 2018. № 4 (71). С. 20–29.</w:t>
      </w:r>
    </w:p>
    <w:p w:rsidR="003B7BC2" w:rsidRDefault="003B7BC2" w:rsidP="003B7BC2"/>
    <w:p w:rsidR="003B7BC2" w:rsidRDefault="003B7BC2" w:rsidP="003B7BC2">
      <w:r>
        <w:t>30. Худолей К.М. Формы государства зарубежных стран СНГ и Балтии // Вестник Прикамского социального института. 2020. № 1 (85). С. 58–64.</w:t>
      </w:r>
    </w:p>
    <w:p w:rsidR="003B7BC2" w:rsidRDefault="003B7BC2" w:rsidP="003B7BC2"/>
    <w:p w:rsidR="003B7BC2" w:rsidRDefault="003B7BC2" w:rsidP="003B7BC2">
      <w:bookmarkStart w:id="0" w:name="_GoBack"/>
      <w:bookmarkEnd w:id="0"/>
      <w:r>
        <w:t>titute, no. 1 (85), pp. 58–64.</w:t>
      </w:r>
    </w:p>
    <w:sectPr w:rsidR="003B7BC2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BC2"/>
    <w:rsid w:val="00017B57"/>
    <w:rsid w:val="000706E4"/>
    <w:rsid w:val="00077F28"/>
    <w:rsid w:val="00275775"/>
    <w:rsid w:val="003B7BC2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3737B"/>
  <w15:chartTrackingRefBased/>
  <w15:docId w15:val="{41124ED0-857D-9C44-96AF-44A3E72AB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731</Words>
  <Characters>4462</Characters>
  <Application>Microsoft Office Word</Application>
  <DocSecurity>0</DocSecurity>
  <Lines>123</Lines>
  <Paragraphs>71</Paragraphs>
  <ScaleCrop>false</ScaleCrop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2025-07-25T17:36:00Z</dcterms:created>
  <dcterms:modified xsi:type="dcterms:W3CDTF">2025-07-25T17:36:00Z</dcterms:modified>
</cp:coreProperties>
</file>