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C85D60" w:rsidP="00C85D60">
      <w:pPr>
        <w:pStyle w:val="a3"/>
      </w:pPr>
      <w:r>
        <w:rPr>
          <w:rFonts w:ascii="FuturaNowText" w:hAnsi="FuturaNowText"/>
          <w:b/>
          <w:bCs/>
          <w:color w:val="CE0056"/>
          <w:sz w:val="18"/>
          <w:szCs w:val="18"/>
        </w:rPr>
        <w:t xml:space="preserve">REFERENCES </w:t>
      </w:r>
    </w:p>
    <w:p w:rsidR="00C85D60" w:rsidRPr="00C85D60" w:rsidRDefault="00C85D60" w:rsidP="00C85D60">
      <w:pPr>
        <w:pStyle w:val="a3"/>
        <w:rPr>
          <w:lang w:val="en-US"/>
        </w:rPr>
      </w:pPr>
      <w:r w:rsidRPr="00C85D60">
        <w:rPr>
          <w:rFonts w:ascii="minion3" w:hAnsi="minion3"/>
          <w:sz w:val="22"/>
          <w:szCs w:val="22"/>
          <w:lang w:val="en-US"/>
        </w:rPr>
        <w:t xml:space="preserve">1. </w:t>
      </w:r>
      <w:r w:rsidRPr="00C85D60">
        <w:rPr>
          <w:rFonts w:ascii="Minion3Caption" w:hAnsi="Minion3Caption"/>
          <w:sz w:val="20"/>
          <w:szCs w:val="20"/>
          <w:lang w:val="en-US"/>
        </w:rPr>
        <w:t xml:space="preserve">MALAKHOV, V. S., &amp; SIMON, M. E. </w:t>
      </w:r>
      <w:r w:rsidRPr="00C85D60">
        <w:rPr>
          <w:rFonts w:ascii="minion3" w:hAnsi="minion3"/>
          <w:sz w:val="22"/>
          <w:szCs w:val="22"/>
          <w:lang w:val="en-US"/>
        </w:rPr>
        <w:t xml:space="preserve">(2017). </w:t>
      </w:r>
      <w:proofErr w:type="spellStart"/>
      <w:r w:rsidRPr="00C85D60">
        <w:rPr>
          <w:rFonts w:ascii="minion3" w:hAnsi="minion3"/>
          <w:sz w:val="22"/>
          <w:szCs w:val="22"/>
          <w:lang w:val="en-US"/>
        </w:rPr>
        <w:t>Migra</w:t>
      </w:r>
      <w:proofErr w:type="spellEnd"/>
      <w:r w:rsidRPr="00C85D60">
        <w:rPr>
          <w:rFonts w:ascii="minion3" w:hAnsi="minion3"/>
          <w:sz w:val="22"/>
          <w:szCs w:val="22"/>
          <w:lang w:val="en-US"/>
        </w:rPr>
        <w:t xml:space="preserve">- </w:t>
      </w:r>
      <w:proofErr w:type="spellStart"/>
      <w:r w:rsidRPr="00C85D60">
        <w:rPr>
          <w:rFonts w:ascii="minion3" w:hAnsi="minion3"/>
          <w:sz w:val="22"/>
          <w:szCs w:val="22"/>
          <w:lang w:val="en-US"/>
        </w:rPr>
        <w:t>tion</w:t>
      </w:r>
      <w:proofErr w:type="spellEnd"/>
      <w:r w:rsidRPr="00C85D60">
        <w:rPr>
          <w:rFonts w:ascii="minion3" w:hAnsi="minion3"/>
          <w:sz w:val="22"/>
          <w:szCs w:val="22"/>
          <w:lang w:val="en-US"/>
        </w:rPr>
        <w:t xml:space="preserve"> Policy in the Conditions of Economic Turbulence: The Experience of the European Union and the Prospects of Russia. </w:t>
      </w:r>
      <w:r w:rsidRPr="00C85D60">
        <w:rPr>
          <w:rFonts w:ascii="minion3" w:hAnsi="minion3"/>
          <w:i/>
          <w:iCs/>
          <w:sz w:val="22"/>
          <w:szCs w:val="22"/>
          <w:lang w:val="en-US"/>
        </w:rPr>
        <w:t>SSRN Electronic Journal</w:t>
      </w:r>
      <w:r w:rsidRPr="00C85D60">
        <w:rPr>
          <w:rFonts w:ascii="minion3" w:hAnsi="minion3"/>
          <w:sz w:val="22"/>
          <w:szCs w:val="22"/>
          <w:lang w:val="en-US"/>
        </w:rPr>
        <w:t xml:space="preserve">, Article 2980789. </w:t>
      </w:r>
      <w:r w:rsidRPr="00C85D60">
        <w:rPr>
          <w:rFonts w:ascii="minion3" w:hAnsi="minion3"/>
          <w:color w:val="CE0056"/>
          <w:sz w:val="22"/>
          <w:szCs w:val="22"/>
          <w:lang w:val="en-US"/>
        </w:rPr>
        <w:t>https://doi.org/10.2139/ssrn.2980789</w:t>
      </w:r>
      <w:r w:rsidRPr="00C85D60">
        <w:rPr>
          <w:rFonts w:ascii="minion3" w:hAnsi="minion3"/>
          <w:sz w:val="22"/>
          <w:szCs w:val="22"/>
          <w:lang w:val="en-US"/>
        </w:rPr>
        <w:t xml:space="preserve">. </w:t>
      </w:r>
    </w:p>
    <w:p w:rsidR="00C85D60" w:rsidRPr="00C85D60" w:rsidRDefault="00C85D60" w:rsidP="00C85D60">
      <w:pPr>
        <w:pStyle w:val="a3"/>
        <w:rPr>
          <w:lang w:val="en-US"/>
        </w:rPr>
      </w:pPr>
      <w:r w:rsidRPr="00C85D60">
        <w:rPr>
          <w:rFonts w:ascii="minion3" w:hAnsi="minion3"/>
          <w:sz w:val="22"/>
          <w:szCs w:val="22"/>
          <w:lang w:val="en-US"/>
        </w:rPr>
        <w:t xml:space="preserve">2. </w:t>
      </w:r>
      <w:r w:rsidRPr="00C85D60">
        <w:rPr>
          <w:rFonts w:ascii="Minion3Caption" w:hAnsi="Minion3Caption"/>
          <w:sz w:val="20"/>
          <w:szCs w:val="20"/>
          <w:lang w:val="en-US"/>
        </w:rPr>
        <w:t xml:space="preserve">KONONOV, L. A., &amp; CHEBOTAREV, A. V. </w:t>
      </w:r>
      <w:r w:rsidRPr="00C85D60">
        <w:rPr>
          <w:rFonts w:ascii="minion3" w:hAnsi="minion3"/>
          <w:sz w:val="22"/>
          <w:szCs w:val="22"/>
          <w:lang w:val="en-US"/>
        </w:rPr>
        <w:t xml:space="preserve">(2018). Extremism in modern migration processes as an object of political science research. </w:t>
      </w:r>
      <w:r w:rsidRPr="00C85D60">
        <w:rPr>
          <w:rFonts w:ascii="minion3" w:hAnsi="minion3"/>
          <w:i/>
          <w:iCs/>
          <w:sz w:val="22"/>
          <w:szCs w:val="22"/>
          <w:lang w:val="en-US"/>
        </w:rPr>
        <w:t>E-Journal Public Administration</w:t>
      </w:r>
      <w:r w:rsidRPr="00C85D60">
        <w:rPr>
          <w:rFonts w:ascii="minion3" w:hAnsi="minion3"/>
          <w:sz w:val="22"/>
          <w:szCs w:val="22"/>
          <w:lang w:val="en-US"/>
        </w:rPr>
        <w:t xml:space="preserve">, (70), 107–122. </w:t>
      </w:r>
      <w:r w:rsidRPr="00C85D60">
        <w:rPr>
          <w:rFonts w:ascii="minion3" w:hAnsi="minion3"/>
          <w:color w:val="CE0056"/>
          <w:sz w:val="22"/>
          <w:szCs w:val="22"/>
          <w:lang w:val="en-US"/>
        </w:rPr>
        <w:t>https://elibrary.ru/ylwmip</w:t>
      </w:r>
      <w:r w:rsidRPr="00C85D60">
        <w:rPr>
          <w:rFonts w:ascii="minion3" w:hAnsi="minion3"/>
          <w:sz w:val="22"/>
          <w:szCs w:val="22"/>
          <w:lang w:val="en-US"/>
        </w:rPr>
        <w:t xml:space="preserve">. </w:t>
      </w:r>
    </w:p>
    <w:p w:rsidR="00C85D60" w:rsidRPr="00C85D60" w:rsidRDefault="00C85D60" w:rsidP="00C85D60">
      <w:pPr>
        <w:pStyle w:val="a3"/>
        <w:rPr>
          <w:lang w:val="en-US"/>
        </w:rPr>
      </w:pPr>
      <w:r w:rsidRPr="00C85D60">
        <w:rPr>
          <w:rFonts w:ascii="minion3" w:hAnsi="minion3"/>
          <w:sz w:val="22"/>
          <w:szCs w:val="22"/>
          <w:lang w:val="en-US"/>
        </w:rPr>
        <w:t xml:space="preserve">3. </w:t>
      </w:r>
      <w:r w:rsidRPr="00C85D60">
        <w:rPr>
          <w:rFonts w:ascii="Minion3Caption" w:hAnsi="Minion3Caption"/>
          <w:sz w:val="20"/>
          <w:szCs w:val="20"/>
          <w:lang w:val="en-US"/>
        </w:rPr>
        <w:t xml:space="preserve">BAZHAN, T. A. </w:t>
      </w:r>
      <w:r w:rsidRPr="00C85D60">
        <w:rPr>
          <w:rFonts w:ascii="minion3" w:hAnsi="minion3"/>
          <w:sz w:val="22"/>
          <w:szCs w:val="22"/>
          <w:lang w:val="en-US"/>
        </w:rPr>
        <w:t xml:space="preserve">(2022). Socio-cultural adaptation and integration of migrants as tool of state migration policy in Soviet period. </w:t>
      </w:r>
      <w:r w:rsidRPr="00C85D60">
        <w:rPr>
          <w:rFonts w:ascii="minion3" w:hAnsi="minion3"/>
          <w:i/>
          <w:iCs/>
          <w:sz w:val="22"/>
          <w:szCs w:val="22"/>
          <w:lang w:val="en-US"/>
        </w:rPr>
        <w:t>Bulletin of the Russian Economic University named after G.V. Plekhanov</w:t>
      </w:r>
      <w:r w:rsidRPr="00C85D60">
        <w:rPr>
          <w:rFonts w:ascii="minion3" w:hAnsi="minion3"/>
          <w:sz w:val="22"/>
          <w:szCs w:val="22"/>
          <w:lang w:val="en-US"/>
        </w:rPr>
        <w:t xml:space="preserve">, </w:t>
      </w:r>
      <w:r w:rsidRPr="00C85D60">
        <w:rPr>
          <w:rFonts w:ascii="minion3" w:hAnsi="minion3"/>
          <w:i/>
          <w:iCs/>
          <w:sz w:val="22"/>
          <w:szCs w:val="22"/>
          <w:lang w:val="en-US"/>
        </w:rPr>
        <w:t>19</w:t>
      </w:r>
      <w:r w:rsidRPr="00C85D60">
        <w:rPr>
          <w:rFonts w:ascii="minion3" w:hAnsi="minion3"/>
          <w:sz w:val="22"/>
          <w:szCs w:val="22"/>
          <w:lang w:val="en-US"/>
        </w:rPr>
        <w:t xml:space="preserve">(1), 72–83. </w:t>
      </w:r>
      <w:r w:rsidRPr="00C85D60">
        <w:rPr>
          <w:rFonts w:ascii="minion3" w:hAnsi="minion3"/>
          <w:color w:val="CE0056"/>
          <w:sz w:val="22"/>
          <w:szCs w:val="22"/>
          <w:lang w:val="en-US"/>
        </w:rPr>
        <w:t>https://doi.org/10.21686/2413-2829-2022- 1-72-83</w:t>
      </w:r>
      <w:r w:rsidRPr="00C85D60">
        <w:rPr>
          <w:rFonts w:ascii="minion3" w:hAnsi="minion3"/>
          <w:sz w:val="22"/>
          <w:szCs w:val="22"/>
          <w:lang w:val="en-US"/>
        </w:rPr>
        <w:t xml:space="preserve">. </w:t>
      </w:r>
    </w:p>
    <w:p w:rsidR="00C85D60" w:rsidRPr="00C85D60" w:rsidRDefault="00C85D60" w:rsidP="00C85D60">
      <w:pPr>
        <w:pStyle w:val="a3"/>
        <w:rPr>
          <w:lang w:val="en-US"/>
        </w:rPr>
      </w:pPr>
      <w:r w:rsidRPr="00C85D60">
        <w:rPr>
          <w:rFonts w:ascii="minion3" w:hAnsi="minion3"/>
          <w:sz w:val="22"/>
          <w:szCs w:val="22"/>
          <w:lang w:val="en-US"/>
        </w:rPr>
        <w:t xml:space="preserve">4. </w:t>
      </w:r>
      <w:r w:rsidRPr="00C85D60">
        <w:rPr>
          <w:rFonts w:ascii="Minion3Caption" w:hAnsi="Minion3Caption"/>
          <w:sz w:val="20"/>
          <w:szCs w:val="20"/>
          <w:lang w:val="en-US"/>
        </w:rPr>
        <w:t xml:space="preserve">ILIMBETOVA, A. A. </w:t>
      </w:r>
      <w:r w:rsidRPr="00C85D60">
        <w:rPr>
          <w:rFonts w:ascii="minion3" w:hAnsi="minion3"/>
          <w:sz w:val="22"/>
          <w:szCs w:val="22"/>
          <w:lang w:val="en-US"/>
        </w:rPr>
        <w:t xml:space="preserve">(2021). Adaptation and integration of migrants: Conditions, goals, approaches. </w:t>
      </w:r>
      <w:proofErr w:type="spellStart"/>
      <w:r w:rsidRPr="00C85D60">
        <w:rPr>
          <w:rFonts w:ascii="minion3" w:hAnsi="minion3"/>
          <w:i/>
          <w:iCs/>
          <w:sz w:val="22"/>
          <w:szCs w:val="22"/>
          <w:lang w:val="en-US"/>
        </w:rPr>
        <w:t>Vestnik</w:t>
      </w:r>
      <w:proofErr w:type="spellEnd"/>
      <w:r w:rsidRPr="00C85D60">
        <w:rPr>
          <w:rFonts w:ascii="minion3" w:hAnsi="minion3"/>
          <w:i/>
          <w:iCs/>
          <w:sz w:val="22"/>
          <w:szCs w:val="22"/>
          <w:lang w:val="en-US"/>
        </w:rPr>
        <w:t xml:space="preserve"> </w:t>
      </w:r>
      <w:proofErr w:type="spellStart"/>
      <w:r w:rsidRPr="00C85D60">
        <w:rPr>
          <w:rFonts w:ascii="minion3" w:hAnsi="minion3"/>
          <w:i/>
          <w:iCs/>
          <w:sz w:val="22"/>
          <w:szCs w:val="22"/>
          <w:lang w:val="en-US"/>
        </w:rPr>
        <w:t>Instituta</w:t>
      </w:r>
      <w:proofErr w:type="spellEnd"/>
      <w:r w:rsidRPr="00C85D60">
        <w:rPr>
          <w:rFonts w:ascii="minion3" w:hAnsi="minion3"/>
          <w:i/>
          <w:iCs/>
          <w:sz w:val="22"/>
          <w:szCs w:val="22"/>
          <w:lang w:val="en-US"/>
        </w:rPr>
        <w:t xml:space="preserve"> </w:t>
      </w:r>
      <w:proofErr w:type="spellStart"/>
      <w:r w:rsidRPr="00C85D60">
        <w:rPr>
          <w:rFonts w:ascii="minion3" w:hAnsi="minion3"/>
          <w:i/>
          <w:iCs/>
          <w:sz w:val="22"/>
          <w:szCs w:val="22"/>
          <w:lang w:val="en-US"/>
        </w:rPr>
        <w:t>Ekonomiki</w:t>
      </w:r>
      <w:proofErr w:type="spellEnd"/>
      <w:r w:rsidRPr="00C85D60">
        <w:rPr>
          <w:rFonts w:ascii="minion3" w:hAnsi="minion3"/>
          <w:i/>
          <w:iCs/>
          <w:sz w:val="22"/>
          <w:szCs w:val="22"/>
          <w:lang w:val="en-US"/>
        </w:rPr>
        <w:t xml:space="preserve"> </w:t>
      </w:r>
      <w:proofErr w:type="spellStart"/>
      <w:r w:rsidRPr="00C85D60">
        <w:rPr>
          <w:rFonts w:ascii="minion3" w:hAnsi="minion3"/>
          <w:i/>
          <w:iCs/>
          <w:sz w:val="22"/>
          <w:szCs w:val="22"/>
          <w:lang w:val="en-US"/>
        </w:rPr>
        <w:t>Rossiyskoy</w:t>
      </w:r>
      <w:proofErr w:type="spellEnd"/>
      <w:r w:rsidRPr="00C85D60">
        <w:rPr>
          <w:rFonts w:ascii="minion3" w:hAnsi="minion3"/>
          <w:i/>
          <w:iCs/>
          <w:sz w:val="22"/>
          <w:szCs w:val="22"/>
          <w:lang w:val="en-US"/>
        </w:rPr>
        <w:t xml:space="preserve"> </w:t>
      </w:r>
      <w:proofErr w:type="spellStart"/>
      <w:r w:rsidRPr="00C85D60">
        <w:rPr>
          <w:rFonts w:ascii="minion3" w:hAnsi="minion3"/>
          <w:i/>
          <w:iCs/>
          <w:sz w:val="22"/>
          <w:szCs w:val="22"/>
          <w:lang w:val="en-US"/>
        </w:rPr>
        <w:t>Akademii</w:t>
      </w:r>
      <w:proofErr w:type="spellEnd"/>
      <w:r w:rsidRPr="00C85D60">
        <w:rPr>
          <w:rFonts w:ascii="minion3" w:hAnsi="minion3"/>
          <w:i/>
          <w:iCs/>
          <w:sz w:val="22"/>
          <w:szCs w:val="22"/>
          <w:lang w:val="en-US"/>
        </w:rPr>
        <w:t xml:space="preserve"> </w:t>
      </w:r>
      <w:proofErr w:type="spellStart"/>
      <w:r w:rsidRPr="00C85D60">
        <w:rPr>
          <w:rFonts w:ascii="minion3" w:hAnsi="minion3"/>
          <w:i/>
          <w:iCs/>
          <w:sz w:val="22"/>
          <w:szCs w:val="22"/>
          <w:lang w:val="en-US"/>
        </w:rPr>
        <w:t>Nauk</w:t>
      </w:r>
      <w:proofErr w:type="spellEnd"/>
      <w:r w:rsidRPr="00C85D60">
        <w:rPr>
          <w:rFonts w:ascii="minion3" w:hAnsi="minion3"/>
          <w:sz w:val="22"/>
          <w:szCs w:val="22"/>
          <w:lang w:val="en-US"/>
        </w:rPr>
        <w:t xml:space="preserve">, (2), 144–155. </w:t>
      </w:r>
      <w:r w:rsidRPr="00C85D60">
        <w:rPr>
          <w:rFonts w:ascii="minion3" w:hAnsi="minion3"/>
          <w:color w:val="CE0056"/>
          <w:sz w:val="22"/>
          <w:szCs w:val="22"/>
          <w:lang w:val="en-US"/>
        </w:rPr>
        <w:t>https://doi.org/10.52180/2073- 6487_2021_2_144_155</w:t>
      </w:r>
      <w:r w:rsidRPr="00C85D60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C85D60" w:rsidP="00846903">
      <w:pPr>
        <w:pStyle w:val="a3"/>
        <w:rPr>
          <w:lang w:val="en-US"/>
        </w:rPr>
      </w:pPr>
      <w:r w:rsidRPr="00C85D60">
        <w:rPr>
          <w:rFonts w:ascii="minion3" w:hAnsi="minion3"/>
          <w:sz w:val="22"/>
          <w:szCs w:val="22"/>
          <w:lang w:val="en-US"/>
        </w:rPr>
        <w:t xml:space="preserve">5. </w:t>
      </w:r>
      <w:r w:rsidRPr="00C85D60">
        <w:rPr>
          <w:rFonts w:ascii="Minion3Caption" w:hAnsi="Minion3Caption"/>
          <w:sz w:val="20"/>
          <w:szCs w:val="20"/>
          <w:lang w:val="en-US"/>
        </w:rPr>
        <w:t xml:space="preserve">LEBEDEVA, T. V. </w:t>
      </w:r>
      <w:r w:rsidRPr="00C85D60">
        <w:rPr>
          <w:rFonts w:ascii="minion3" w:hAnsi="minion3"/>
          <w:sz w:val="22"/>
          <w:szCs w:val="22"/>
          <w:lang w:val="en-US"/>
        </w:rPr>
        <w:t xml:space="preserve">(2019). Adaptation and integration of study migrants: Theoretical aspects and </w:t>
      </w:r>
      <w:proofErr w:type="spellStart"/>
      <w:r w:rsidRPr="00C85D60">
        <w:rPr>
          <w:rFonts w:ascii="minion3" w:hAnsi="minion3"/>
          <w:sz w:val="22"/>
          <w:szCs w:val="22"/>
          <w:lang w:val="en-US"/>
        </w:rPr>
        <w:t>prac</w:t>
      </w:r>
      <w:proofErr w:type="spellEnd"/>
      <w:r w:rsidRPr="00C85D60">
        <w:rPr>
          <w:rFonts w:ascii="minion3" w:hAnsi="minion3"/>
          <w:sz w:val="22"/>
          <w:szCs w:val="22"/>
          <w:lang w:val="en-US"/>
        </w:rPr>
        <w:t xml:space="preserve"> </w:t>
      </w:r>
      <w:proofErr w:type="spellStart"/>
      <w:r w:rsidR="00846903" w:rsidRPr="00846903">
        <w:rPr>
          <w:rFonts w:ascii="minion3" w:hAnsi="minion3"/>
          <w:sz w:val="22"/>
          <w:szCs w:val="22"/>
          <w:lang w:val="en-US"/>
        </w:rPr>
        <w:t>tical</w:t>
      </w:r>
      <w:proofErr w:type="spellEnd"/>
      <w:r w:rsidR="00846903" w:rsidRPr="00846903">
        <w:rPr>
          <w:rFonts w:ascii="minion3" w:hAnsi="minion3"/>
          <w:sz w:val="22"/>
          <w:szCs w:val="22"/>
          <w:lang w:val="en-US"/>
        </w:rPr>
        <w:t xml:space="preserve"> approaches. </w:t>
      </w:r>
      <w:r w:rsidR="00846903" w:rsidRPr="00846903">
        <w:rPr>
          <w:rFonts w:ascii="minion3" w:hAnsi="minion3"/>
          <w:i/>
          <w:iCs/>
          <w:sz w:val="22"/>
          <w:szCs w:val="22"/>
          <w:lang w:val="en-US"/>
        </w:rPr>
        <w:t>Migration and Socio-Economic Development</w:t>
      </w:r>
      <w:r w:rsidR="00846903" w:rsidRPr="00846903">
        <w:rPr>
          <w:rFonts w:ascii="minion3" w:hAnsi="minion3"/>
          <w:sz w:val="22"/>
          <w:szCs w:val="22"/>
          <w:lang w:val="en-US"/>
        </w:rPr>
        <w:t xml:space="preserve">, </w:t>
      </w:r>
      <w:r w:rsidR="00846903" w:rsidRPr="00846903">
        <w:rPr>
          <w:rFonts w:ascii="minion3" w:hAnsi="minion3"/>
          <w:i/>
          <w:iCs/>
          <w:sz w:val="22"/>
          <w:szCs w:val="22"/>
          <w:lang w:val="en-US"/>
        </w:rPr>
        <w:t>4</w:t>
      </w:r>
      <w:r w:rsidR="00846903" w:rsidRPr="00846903">
        <w:rPr>
          <w:rFonts w:ascii="minion3" w:hAnsi="minion3"/>
          <w:sz w:val="22"/>
          <w:szCs w:val="22"/>
          <w:lang w:val="en-US"/>
        </w:rPr>
        <w:t xml:space="preserve">(2), 83–104. </w:t>
      </w:r>
      <w:r w:rsidR="00846903" w:rsidRPr="00846903">
        <w:rPr>
          <w:rFonts w:ascii="minion3" w:hAnsi="minion3"/>
          <w:color w:val="CE0056"/>
          <w:sz w:val="22"/>
          <w:szCs w:val="22"/>
          <w:lang w:val="en-US"/>
        </w:rPr>
        <w:t>https://doi.org/10.183 34/migration.4.2.41335</w:t>
      </w:r>
      <w:r w:rsidR="00846903"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6.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MUKOMEL, V. I., GRIGORIEVA, K. S., </w:t>
      </w:r>
      <w:r w:rsidRPr="00846903">
        <w:rPr>
          <w:rFonts w:ascii="Minion3Caption" w:hAnsi="Minion3Caption"/>
          <w:color w:val="CE0056"/>
          <w:sz w:val="20"/>
          <w:szCs w:val="20"/>
          <w:lang w:val="en-US"/>
        </w:rPr>
        <w:t>MONUSO- VA, G. A.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, SMIDOVICH, G. S., TOLMACHEVA, A. YU., CHUDINOVSKIKH, O. S., &amp; ANDREWSHKO, A. A. </w:t>
      </w:r>
      <w:r w:rsidRPr="00846903">
        <w:rPr>
          <w:rFonts w:ascii="minion3" w:hAnsi="minion3"/>
          <w:sz w:val="22"/>
          <w:szCs w:val="22"/>
          <w:lang w:val="en-US"/>
        </w:rPr>
        <w:t xml:space="preserve">(2022).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Adaptation and integration of migrants in Russia: Challenges, realities, indicators</w:t>
      </w:r>
      <w:r w:rsidRPr="00846903">
        <w:rPr>
          <w:rFonts w:ascii="minion3" w:hAnsi="minion3"/>
          <w:sz w:val="22"/>
          <w:szCs w:val="22"/>
          <w:lang w:val="en-US"/>
        </w:rPr>
        <w:t xml:space="preserve">. Federal Research Sociological Center of the Russian Academy of Sci-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ences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https://doi.org/10.19181/monogr.978-5- 89697-407-9.2022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7.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KULBACHEVSKAYA, O. V. </w:t>
      </w:r>
      <w:r w:rsidRPr="00846903">
        <w:rPr>
          <w:rFonts w:ascii="minion3" w:hAnsi="minion3"/>
          <w:sz w:val="22"/>
          <w:szCs w:val="22"/>
          <w:lang w:val="en-US"/>
        </w:rPr>
        <w:t xml:space="preserve">(2020). Socio-cultural adaptation and integration of migrants in Russia: On the issue of intercultural interaction.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Herald of Anthropology</w:t>
      </w:r>
      <w:r w:rsidRPr="00846903">
        <w:rPr>
          <w:rFonts w:ascii="minion3" w:hAnsi="minion3"/>
          <w:sz w:val="22"/>
          <w:szCs w:val="22"/>
          <w:lang w:val="en-US"/>
        </w:rPr>
        <w:t xml:space="preserve">, (4), 136–152.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https://doi.org/10.338 76/2311-0546/2020-52-4/136-152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8. </w:t>
      </w:r>
      <w:r w:rsidRPr="00846903">
        <w:rPr>
          <w:rFonts w:ascii="Minion3Caption" w:hAnsi="Minion3Caption"/>
          <w:color w:val="CE0056"/>
          <w:sz w:val="20"/>
          <w:szCs w:val="20"/>
          <w:lang w:val="en-US"/>
        </w:rPr>
        <w:t>POPOVA, S. M.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, </w:t>
      </w:r>
      <w:r w:rsidRPr="00846903">
        <w:rPr>
          <w:rFonts w:ascii="Minion3Caption" w:hAnsi="Minion3Caption"/>
          <w:color w:val="CE0056"/>
          <w:sz w:val="20"/>
          <w:szCs w:val="20"/>
          <w:lang w:val="en-US"/>
        </w:rPr>
        <w:t>YANIK, A. A.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, &amp; KARPOVA, S. F. </w:t>
      </w:r>
      <w:r w:rsidRPr="00846903">
        <w:rPr>
          <w:rFonts w:ascii="minion3" w:hAnsi="minion3"/>
          <w:sz w:val="22"/>
          <w:szCs w:val="22"/>
          <w:lang w:val="en-US"/>
        </w:rPr>
        <w:t xml:space="preserve">(2023). Transformation of Russia’s migration policy: Stages, features, problems (1989-2023).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Administrative and Municipal Law</w:t>
      </w:r>
      <w:r w:rsidRPr="00846903">
        <w:rPr>
          <w:rFonts w:ascii="minion3" w:hAnsi="minion3"/>
          <w:sz w:val="22"/>
          <w:szCs w:val="22"/>
          <w:lang w:val="en-US"/>
        </w:rPr>
        <w:t xml:space="preserve">, (4), 24–51.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 org/10.7256/2454-0595.2023.4.43666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9.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KONONOV, L. A., &amp; </w:t>
      </w:r>
      <w:r w:rsidRPr="00846903">
        <w:rPr>
          <w:rFonts w:ascii="Minion3Caption" w:hAnsi="Minion3Caption"/>
          <w:color w:val="CE0056"/>
          <w:sz w:val="20"/>
          <w:szCs w:val="20"/>
          <w:lang w:val="en-US"/>
        </w:rPr>
        <w:t xml:space="preserve">LEDENEVA, V. YU. </w:t>
      </w:r>
      <w:r w:rsidRPr="00846903">
        <w:rPr>
          <w:rFonts w:ascii="minion3" w:hAnsi="minion3"/>
          <w:sz w:val="22"/>
          <w:szCs w:val="22"/>
          <w:lang w:val="en-US"/>
        </w:rPr>
        <w:t xml:space="preserve">(2021). Adaptation and integration of international migrants: Theoretical and methodological problems.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World Economy and International Relations</w:t>
      </w:r>
      <w:r w:rsidRPr="00846903">
        <w:rPr>
          <w:rFonts w:ascii="minion3" w:hAnsi="minion3"/>
          <w:sz w:val="22"/>
          <w:szCs w:val="22"/>
          <w:lang w:val="en-US"/>
        </w:rPr>
        <w:t xml:space="preserve">,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65</w:t>
      </w:r>
      <w:r w:rsidRPr="00846903">
        <w:rPr>
          <w:rFonts w:ascii="minion3" w:hAnsi="minion3"/>
          <w:sz w:val="22"/>
          <w:szCs w:val="22"/>
          <w:lang w:val="en-US"/>
        </w:rPr>
        <w:t xml:space="preserve">(4), 103–112.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 doi.org/10.20542/0131-2227-2021-65-4-103-112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10.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BOURHIS, R. Y., MOÏSE, L. C., PERREAULT, S., &amp; SENÉCAL, S. </w:t>
      </w:r>
      <w:r w:rsidRPr="00846903">
        <w:rPr>
          <w:rFonts w:ascii="minion3" w:hAnsi="minion3"/>
          <w:sz w:val="22"/>
          <w:szCs w:val="22"/>
          <w:lang w:val="en-US"/>
        </w:rPr>
        <w:t xml:space="preserve">(1997). Towards an Interactive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Accul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-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turation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 Model: A Social Psychological Approach.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International Journal of Psychology</w:t>
      </w:r>
      <w:r w:rsidRPr="00846903">
        <w:rPr>
          <w:rFonts w:ascii="minion3" w:hAnsi="minion3"/>
          <w:sz w:val="22"/>
          <w:szCs w:val="22"/>
          <w:lang w:val="en-US"/>
        </w:rPr>
        <w:t xml:space="preserve">,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32</w:t>
      </w:r>
      <w:r w:rsidRPr="00846903">
        <w:rPr>
          <w:rFonts w:ascii="minion3" w:hAnsi="minion3"/>
          <w:sz w:val="22"/>
          <w:szCs w:val="22"/>
          <w:lang w:val="en-US"/>
        </w:rPr>
        <w:t xml:space="preserve">(6), 369–386.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https://doi.org/10.1080/002075997400629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11.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GEDDES, A. </w:t>
      </w:r>
      <w:r w:rsidRPr="00846903">
        <w:rPr>
          <w:rFonts w:ascii="minion3" w:hAnsi="minion3"/>
          <w:sz w:val="22"/>
          <w:szCs w:val="22"/>
          <w:lang w:val="en-US"/>
        </w:rPr>
        <w:t xml:space="preserve">(2003).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The Politics of Migration and Immigration in Europe</w:t>
      </w:r>
      <w:r w:rsidRPr="00846903">
        <w:rPr>
          <w:rFonts w:ascii="minion3" w:hAnsi="minion3"/>
          <w:sz w:val="22"/>
          <w:szCs w:val="22"/>
          <w:lang w:val="en-US"/>
        </w:rPr>
        <w:t xml:space="preserve">. SAGE Publications Ltd.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https://doi.org/10.4135/9781446280492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12.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TATARKO, A. N. </w:t>
      </w:r>
      <w:r w:rsidRPr="00846903">
        <w:rPr>
          <w:rFonts w:ascii="minion3" w:hAnsi="minion3"/>
          <w:sz w:val="22"/>
          <w:szCs w:val="22"/>
          <w:lang w:val="en-US"/>
        </w:rPr>
        <w:t xml:space="preserve">(2019). Integration policy of society and attitudes of the host population towards mi- grants: A study in 17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european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 countries.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Psychology. Journal of Higher School of Economics</w:t>
      </w:r>
      <w:r w:rsidRPr="00846903">
        <w:rPr>
          <w:rFonts w:ascii="minion3" w:hAnsi="minion3"/>
          <w:sz w:val="22"/>
          <w:szCs w:val="22"/>
          <w:lang w:val="en-US"/>
        </w:rPr>
        <w:t xml:space="preserve">,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16</w:t>
      </w:r>
      <w:r w:rsidRPr="00846903">
        <w:rPr>
          <w:rFonts w:ascii="minion3" w:hAnsi="minion3"/>
          <w:sz w:val="22"/>
          <w:szCs w:val="22"/>
          <w:lang w:val="en-US"/>
        </w:rPr>
        <w:t xml:space="preserve">(2), 216–231.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https://doi.org/10.17323/1813-8918-2019-2-216-231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13. </w:t>
      </w:r>
      <w:r w:rsidRPr="00846903">
        <w:rPr>
          <w:rFonts w:ascii="Minion3Caption" w:hAnsi="Minion3Caption"/>
          <w:color w:val="CE0056"/>
          <w:sz w:val="20"/>
          <w:szCs w:val="20"/>
          <w:lang w:val="en-US"/>
        </w:rPr>
        <w:t>OSADCHAYA, G. I.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, &amp; </w:t>
      </w:r>
      <w:r w:rsidRPr="00846903">
        <w:rPr>
          <w:rFonts w:ascii="Minion3Caption" w:hAnsi="Minion3Caption"/>
          <w:color w:val="CE0056"/>
          <w:sz w:val="20"/>
          <w:szCs w:val="20"/>
          <w:lang w:val="en-US"/>
        </w:rPr>
        <w:t xml:space="preserve">YUDINA, T. N. </w:t>
      </w:r>
      <w:r w:rsidRPr="00846903">
        <w:rPr>
          <w:rFonts w:ascii="minion3" w:hAnsi="minion3"/>
          <w:sz w:val="22"/>
          <w:szCs w:val="22"/>
          <w:lang w:val="en-US"/>
        </w:rPr>
        <w:t xml:space="preserve">(2020). EU integration policy for immigrants after the migration crisis.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Social Policy and Sociology</w:t>
      </w:r>
      <w:r w:rsidRPr="00846903">
        <w:rPr>
          <w:rFonts w:ascii="minion3" w:hAnsi="minion3"/>
          <w:sz w:val="22"/>
          <w:szCs w:val="22"/>
          <w:lang w:val="en-US"/>
        </w:rPr>
        <w:t xml:space="preserve">,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19</w:t>
      </w:r>
      <w:r w:rsidRPr="00846903">
        <w:rPr>
          <w:rFonts w:ascii="minion3" w:hAnsi="minion3"/>
          <w:sz w:val="22"/>
          <w:szCs w:val="22"/>
          <w:lang w:val="en-US"/>
        </w:rPr>
        <w:t xml:space="preserve">(1), 56–63.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 doi.org/10.17922/2071-3665-2020-19-1-56-63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lastRenderedPageBreak/>
        <w:t xml:space="preserve">14.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SAKHAROVA, V. V. </w:t>
      </w:r>
      <w:r w:rsidRPr="00846903">
        <w:rPr>
          <w:rFonts w:ascii="minion3" w:hAnsi="minion3"/>
          <w:sz w:val="22"/>
          <w:szCs w:val="22"/>
          <w:lang w:val="en-US"/>
        </w:rPr>
        <w:t xml:space="preserve">(2011).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Multiculturalism and immigrant integration policy: A comparative analysis of the experience of leading Western countries</w:t>
      </w:r>
      <w:r w:rsidRPr="00846903">
        <w:rPr>
          <w:rFonts w:ascii="minion3" w:hAnsi="minion3"/>
          <w:sz w:val="22"/>
          <w:szCs w:val="22"/>
          <w:lang w:val="en-US"/>
        </w:rPr>
        <w:t>. Center “Zlatoust”.</w:t>
      </w:r>
      <w:r w:rsidRPr="00846903">
        <w:rPr>
          <w:rFonts w:ascii="minion3" w:hAnsi="minion3"/>
          <w:sz w:val="22"/>
          <w:szCs w:val="22"/>
          <w:lang w:val="en-US"/>
        </w:rPr>
        <w:t xml:space="preserve">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https://elibrary.ru/qonjlv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1A75CF" w:rsidRDefault="00846903" w:rsidP="001A75C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15.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KAMENSKY, A. N. </w:t>
      </w:r>
      <w:r w:rsidRPr="00846903">
        <w:rPr>
          <w:rFonts w:ascii="minion3" w:hAnsi="minion3"/>
          <w:sz w:val="22"/>
          <w:szCs w:val="22"/>
          <w:lang w:val="en-US"/>
        </w:rPr>
        <w:t xml:space="preserve">(2011). </w:t>
      </w:r>
      <w:r w:rsidRPr="00846903">
        <w:rPr>
          <w:rFonts w:ascii="minion3" w:hAnsi="minion3"/>
          <w:color w:val="000000" w:themeColor="text1"/>
          <w:sz w:val="20"/>
          <w:szCs w:val="20"/>
          <w:lang w:val="en-US"/>
        </w:rPr>
        <w:t xml:space="preserve">Typology of state </w:t>
      </w:r>
      <w:r w:rsidRPr="00846903">
        <w:rPr>
          <w:rFonts w:ascii="Tahoma" w:eastAsia="Times New Roman" w:hAnsi="Tahoma" w:cs="Tahoma"/>
          <w:color w:val="000000" w:themeColor="text1"/>
          <w:sz w:val="20"/>
          <w:szCs w:val="20"/>
          <w:lang w:val="en-US" w:eastAsia="ru-RU"/>
        </w:rPr>
        <w:t>migration policy of countries around the world.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val="en-GB" w:eastAsia="ru-RU"/>
        </w:rPr>
        <w:t xml:space="preserve"> World and Nacional Economy</w:t>
      </w:r>
      <w:r w:rsidRPr="00846903">
        <w:rPr>
          <w:rFonts w:ascii="Tahoma" w:eastAsia="Times New Roman" w:hAnsi="Tahoma" w:cs="Tahoma"/>
          <w:color w:val="000000" w:themeColor="text1"/>
          <w:sz w:val="20"/>
          <w:szCs w:val="20"/>
          <w:lang w:val="en-US" w:eastAsia="ru-RU"/>
        </w:rPr>
        <w:t>,</w:t>
      </w:r>
      <w:r w:rsidRPr="001A75CF">
        <w:rPr>
          <w:rFonts w:ascii="Tahoma" w:eastAsia="Times New Roman" w:hAnsi="Tahoma" w:cs="Tahoma"/>
          <w:color w:val="000000" w:themeColor="text1"/>
          <w:sz w:val="20"/>
          <w:szCs w:val="20"/>
          <w:lang w:val="en-US" w:eastAsia="ru-RU"/>
        </w:rPr>
        <w:t xml:space="preserve"> (2), 18-29</w:t>
      </w:r>
      <w:r w:rsidR="001A75CF" w:rsidRPr="001A75CF">
        <w:rPr>
          <w:rFonts w:ascii="Tahoma" w:eastAsia="Times New Roman" w:hAnsi="Tahoma" w:cs="Tahoma"/>
          <w:color w:val="000000" w:themeColor="text1"/>
          <w:sz w:val="20"/>
          <w:szCs w:val="20"/>
          <w:lang w:val="en-US" w:eastAsia="ru-RU"/>
        </w:rPr>
        <w:t xml:space="preserve"> </w:t>
      </w:r>
      <w:hyperlink r:id="rId4" w:history="1">
        <w:r w:rsidR="001A75CF" w:rsidRPr="00F2186F">
          <w:rPr>
            <w:rStyle w:val="a4"/>
            <w:lang w:val="en-US"/>
          </w:rPr>
          <w:t>https://www.elibrary.ru/item.asp?edn=ubocnj</w:t>
        </w:r>
      </w:hyperlink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16.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SOLANO, G., SCHMID, S. D., &amp; HELBLING, M. </w:t>
      </w:r>
      <w:r w:rsidRPr="00846903">
        <w:rPr>
          <w:rFonts w:ascii="minion3" w:hAnsi="minion3"/>
          <w:sz w:val="22"/>
          <w:szCs w:val="22"/>
          <w:lang w:val="en-US"/>
        </w:rPr>
        <w:t xml:space="preserve">(2023).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Extending Migrants' Rights but Limiting Long-Term Settlement: Migrant Integration Policy Trends in EU and OECD Countries Between 2010 and 2019. International Migration Review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 doi.org/10.1177/01979183231172102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17.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ZORLU, A., &amp; HARTOG, J. </w:t>
      </w:r>
      <w:r w:rsidRPr="00846903">
        <w:rPr>
          <w:rFonts w:ascii="minion3" w:hAnsi="minion3"/>
          <w:sz w:val="22"/>
          <w:szCs w:val="22"/>
          <w:lang w:val="en-US"/>
        </w:rPr>
        <w:t xml:space="preserve">(2018). The Impact of Language on Socioeconomic Integration of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Im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- migrants.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SSRN Electronic Journal</w:t>
      </w:r>
      <w:r w:rsidRPr="00846903">
        <w:rPr>
          <w:rFonts w:ascii="minion3" w:hAnsi="minion3"/>
          <w:sz w:val="22"/>
          <w:szCs w:val="22"/>
          <w:lang w:val="en-US"/>
        </w:rPr>
        <w:t xml:space="preserve">, Article 3170274.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https://doi.org/10.2139/ssrn.3170274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18.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GEBHARDT, D. </w:t>
      </w:r>
      <w:r w:rsidRPr="00846903">
        <w:rPr>
          <w:rFonts w:ascii="minion3" w:hAnsi="minion3"/>
          <w:sz w:val="22"/>
          <w:szCs w:val="22"/>
          <w:lang w:val="en-US"/>
        </w:rPr>
        <w:t xml:space="preserve">(2015). When the state takes over: civic integration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programmes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 and the role of cities in immigrant integration.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Journal of Ethnic and Migration Studies</w:t>
      </w:r>
      <w:r w:rsidRPr="00846903">
        <w:rPr>
          <w:rFonts w:ascii="minion3" w:hAnsi="minion3"/>
          <w:sz w:val="22"/>
          <w:szCs w:val="22"/>
          <w:lang w:val="en-US"/>
        </w:rPr>
        <w:t xml:space="preserve">,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42</w:t>
      </w:r>
      <w:r w:rsidRPr="00846903">
        <w:rPr>
          <w:rFonts w:ascii="minion3" w:hAnsi="minion3"/>
          <w:sz w:val="22"/>
          <w:szCs w:val="22"/>
          <w:lang w:val="en-US"/>
        </w:rPr>
        <w:t xml:space="preserve">(5), 742–758.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 org/10.1080/1369183x.2015.1111132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19.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CONWAY, S. </w:t>
      </w:r>
      <w:r w:rsidRPr="00846903">
        <w:rPr>
          <w:rFonts w:ascii="minion3" w:hAnsi="minion3"/>
          <w:sz w:val="22"/>
          <w:szCs w:val="22"/>
          <w:lang w:val="en-US"/>
        </w:rPr>
        <w:t xml:space="preserve">(2018). From Britishness to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Mul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-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ticulturalism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: Official Canadian Identity in the 1960s. </w:t>
      </w:r>
      <w:proofErr w:type="spellStart"/>
      <w:r w:rsidRPr="00846903">
        <w:rPr>
          <w:rFonts w:ascii="minion3" w:hAnsi="minion3"/>
          <w:i/>
          <w:iCs/>
          <w:sz w:val="22"/>
          <w:szCs w:val="22"/>
          <w:lang w:val="en-US"/>
        </w:rPr>
        <w:t>Études</w:t>
      </w:r>
      <w:proofErr w:type="spellEnd"/>
      <w:r w:rsidRPr="00846903">
        <w:rPr>
          <w:rFonts w:ascii="minion3" w:hAnsi="minion3"/>
          <w:i/>
          <w:iCs/>
          <w:sz w:val="22"/>
          <w:szCs w:val="22"/>
          <w:lang w:val="en-US"/>
        </w:rPr>
        <w:t xml:space="preserve"> </w:t>
      </w:r>
      <w:proofErr w:type="spellStart"/>
      <w:r w:rsidRPr="00846903">
        <w:rPr>
          <w:rFonts w:ascii="minion3" w:hAnsi="minion3"/>
          <w:i/>
          <w:iCs/>
          <w:sz w:val="22"/>
          <w:szCs w:val="22"/>
          <w:lang w:val="en-US"/>
        </w:rPr>
        <w:t>Canadiennes</w:t>
      </w:r>
      <w:proofErr w:type="spellEnd"/>
      <w:r w:rsidRPr="00846903">
        <w:rPr>
          <w:rFonts w:ascii="minion3" w:hAnsi="minion3"/>
          <w:i/>
          <w:iCs/>
          <w:sz w:val="22"/>
          <w:szCs w:val="22"/>
          <w:lang w:val="en-US"/>
        </w:rPr>
        <w:t xml:space="preserve"> / Canadian Studies</w:t>
      </w:r>
      <w:r w:rsidRPr="00846903">
        <w:rPr>
          <w:rFonts w:ascii="minion3" w:hAnsi="minion3"/>
          <w:sz w:val="22"/>
          <w:szCs w:val="22"/>
          <w:lang w:val="en-US"/>
        </w:rPr>
        <w:t xml:space="preserve">, (84), 9–30.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https://doi.org/10.4000/eccs.1118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20.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HERNES, V. </w:t>
      </w:r>
      <w:r w:rsidRPr="00846903">
        <w:rPr>
          <w:rFonts w:ascii="minion3" w:hAnsi="minion3"/>
          <w:sz w:val="22"/>
          <w:szCs w:val="22"/>
          <w:lang w:val="en-US"/>
        </w:rPr>
        <w:t xml:space="preserve">(2021). The case for increased centralization in integration governance: the ne-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glected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 perspective.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Comparative Migration Studies</w:t>
      </w:r>
      <w:r w:rsidRPr="00846903">
        <w:rPr>
          <w:rFonts w:ascii="minion3" w:hAnsi="minion3"/>
          <w:sz w:val="22"/>
          <w:szCs w:val="22"/>
          <w:lang w:val="en-US"/>
        </w:rPr>
        <w:t xml:space="preserve">, (9).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https://doi.org/10.1186/s40878-021-00247-z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21.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KURT, S., &amp; D'AMATO, G. </w:t>
      </w:r>
      <w:r w:rsidRPr="00846903">
        <w:rPr>
          <w:rFonts w:ascii="minion3" w:hAnsi="minion3"/>
          <w:sz w:val="22"/>
          <w:szCs w:val="22"/>
          <w:lang w:val="en-US"/>
        </w:rPr>
        <w:t xml:space="preserve">(2020). The Swiss Rationale of Integration Policies: Balancing Feder-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alism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,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Consociationalism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 and Direct Democracy. In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 xml:space="preserve">Palgrave Studies in Sub-National Governance </w:t>
      </w:r>
      <w:r w:rsidRPr="00846903">
        <w:rPr>
          <w:rFonts w:ascii="minion3" w:hAnsi="minion3"/>
          <w:sz w:val="22"/>
          <w:szCs w:val="22"/>
          <w:lang w:val="en-US"/>
        </w:rPr>
        <w:t xml:space="preserve">(pp. 73–85). Springer International Publishing.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https://doi.org/10.1007/978-3-030-50979-8_5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22. </w:t>
      </w:r>
      <w:r w:rsidRPr="00846903">
        <w:rPr>
          <w:rFonts w:ascii="Minion3Caption" w:hAnsi="Minion3Caption"/>
          <w:color w:val="CE0056"/>
          <w:sz w:val="20"/>
          <w:szCs w:val="20"/>
          <w:lang w:val="en-US"/>
        </w:rPr>
        <w:t>DENISENKO, M. B.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, KHARAEVA, O. A., &amp; CHU- DINOVSKIKH, O. S. </w:t>
      </w:r>
      <w:r w:rsidRPr="00846903">
        <w:rPr>
          <w:rFonts w:ascii="minion3" w:hAnsi="minion3"/>
          <w:sz w:val="22"/>
          <w:szCs w:val="22"/>
          <w:lang w:val="en-US"/>
        </w:rPr>
        <w:t xml:space="preserve">(2003).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Immigration policy in the Russian Federation and Western countries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 elibrary.ru/</w:t>
      </w:r>
      <w:proofErr w:type="spellStart"/>
      <w:r w:rsidRPr="00846903">
        <w:rPr>
          <w:rFonts w:ascii="minion3" w:hAnsi="minion3"/>
          <w:color w:val="CE0056"/>
          <w:sz w:val="22"/>
          <w:szCs w:val="22"/>
          <w:lang w:val="en-US"/>
        </w:rPr>
        <w:t>pxnqrz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23. </w:t>
      </w:r>
      <w:r w:rsidRPr="00846903">
        <w:rPr>
          <w:rFonts w:ascii="Minion3Caption" w:hAnsi="Minion3Caption"/>
          <w:color w:val="CE0056"/>
          <w:sz w:val="20"/>
          <w:szCs w:val="20"/>
          <w:lang w:val="en-US"/>
        </w:rPr>
        <w:t xml:space="preserve">RYAZANTSEV, S. V. </w:t>
      </w:r>
      <w:r w:rsidRPr="00846903">
        <w:rPr>
          <w:rFonts w:ascii="minion3" w:hAnsi="minion3"/>
          <w:sz w:val="22"/>
          <w:szCs w:val="22"/>
          <w:lang w:val="en-US"/>
        </w:rPr>
        <w:t xml:space="preserve">(2019). Modern migration policy of Russia: Challenges and approaches to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im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-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provement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  <w:proofErr w:type="spellStart"/>
      <w:r w:rsidRPr="00846903">
        <w:rPr>
          <w:rFonts w:ascii="minion3" w:hAnsi="minion3"/>
          <w:i/>
          <w:iCs/>
          <w:sz w:val="22"/>
          <w:szCs w:val="22"/>
          <w:lang w:val="en-US"/>
        </w:rPr>
        <w:t>Sotsiologicheskie</w:t>
      </w:r>
      <w:proofErr w:type="spellEnd"/>
      <w:r w:rsidRPr="00846903">
        <w:rPr>
          <w:rFonts w:ascii="minion3" w:hAnsi="minion3"/>
          <w:i/>
          <w:iCs/>
          <w:sz w:val="22"/>
          <w:szCs w:val="22"/>
          <w:lang w:val="en-US"/>
        </w:rPr>
        <w:t xml:space="preserve"> </w:t>
      </w:r>
      <w:proofErr w:type="spellStart"/>
      <w:r w:rsidRPr="00846903">
        <w:rPr>
          <w:rFonts w:ascii="minion3" w:hAnsi="minion3"/>
          <w:i/>
          <w:iCs/>
          <w:sz w:val="22"/>
          <w:szCs w:val="22"/>
          <w:lang w:val="en-US"/>
        </w:rPr>
        <w:t>Issledovaniya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, (9), 117– 126.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https://doi.org/10.31857/S013216250006666-5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24.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BAZHAN, T. A. </w:t>
      </w:r>
      <w:r w:rsidRPr="00846903">
        <w:rPr>
          <w:rFonts w:ascii="minion3" w:hAnsi="minion3"/>
          <w:sz w:val="22"/>
          <w:szCs w:val="22"/>
          <w:lang w:val="en-US"/>
        </w:rPr>
        <w:t xml:space="preserve">(2018). Socio-cultural integration of foreign citizens in the system of state migration policy.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 xml:space="preserve">Azimuth of Scientific Research: Economics and Admin- </w:t>
      </w:r>
      <w:proofErr w:type="spellStart"/>
      <w:r w:rsidRPr="00846903">
        <w:rPr>
          <w:rFonts w:ascii="minion3" w:hAnsi="minion3"/>
          <w:i/>
          <w:iCs/>
          <w:sz w:val="22"/>
          <w:szCs w:val="22"/>
          <w:lang w:val="en-US"/>
        </w:rPr>
        <w:t>istration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,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7</w:t>
      </w:r>
      <w:r w:rsidRPr="00846903">
        <w:rPr>
          <w:rFonts w:ascii="minion3" w:hAnsi="minion3"/>
          <w:sz w:val="22"/>
          <w:szCs w:val="22"/>
          <w:lang w:val="en-US"/>
        </w:rPr>
        <w:t xml:space="preserve">(3), 24–30.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https://elibrary.ru/ylgxzr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25. 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VORONINA, N. A. </w:t>
      </w:r>
      <w:r w:rsidRPr="00846903">
        <w:rPr>
          <w:rFonts w:ascii="minion3" w:hAnsi="minion3"/>
          <w:sz w:val="22"/>
          <w:szCs w:val="22"/>
          <w:lang w:val="en-US"/>
        </w:rPr>
        <w:t xml:space="preserve">(2019). Legislation on adaptation and integration of migrants in Russian Feder- </w:t>
      </w:r>
      <w:proofErr w:type="spellStart"/>
      <w:r w:rsidRPr="00846903">
        <w:rPr>
          <w:rFonts w:ascii="minion3" w:hAnsi="minion3"/>
          <w:sz w:val="22"/>
          <w:szCs w:val="22"/>
          <w:lang w:val="en-US"/>
        </w:rPr>
        <w:t>ation</w:t>
      </w:r>
      <w:proofErr w:type="spellEnd"/>
      <w:r w:rsidRPr="00846903">
        <w:rPr>
          <w:rFonts w:ascii="minion3" w:hAnsi="minion3"/>
          <w:sz w:val="22"/>
          <w:szCs w:val="22"/>
          <w:lang w:val="en-US"/>
        </w:rPr>
        <w:t xml:space="preserve">: Tendencies of development.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Bulletin of St. Petersburg University of the Ministry of Internal Affairs of Russia</w:t>
      </w:r>
      <w:r w:rsidRPr="00846903">
        <w:rPr>
          <w:rFonts w:ascii="minion3" w:hAnsi="minion3"/>
          <w:sz w:val="22"/>
          <w:szCs w:val="22"/>
          <w:lang w:val="en-US"/>
        </w:rPr>
        <w:t xml:space="preserve">, (3), 63–82.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https://doi.org/10.35750/2071- 8284-2019-3-63-82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1A75CF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sz w:val="22"/>
          <w:szCs w:val="22"/>
          <w:lang w:val="en-US"/>
        </w:rPr>
        <w:t xml:space="preserve">26. </w:t>
      </w:r>
      <w:r w:rsidRPr="00846903">
        <w:rPr>
          <w:rFonts w:ascii="Minion3Caption" w:hAnsi="Minion3Caption"/>
          <w:color w:val="CE0056"/>
          <w:sz w:val="20"/>
          <w:szCs w:val="20"/>
          <w:lang w:val="en-US"/>
        </w:rPr>
        <w:t>ANDRICHENKO, L. V.</w:t>
      </w:r>
      <w:r w:rsidRPr="00846903">
        <w:rPr>
          <w:rFonts w:ascii="Minion3Caption" w:hAnsi="Minion3Caption"/>
          <w:sz w:val="20"/>
          <w:szCs w:val="20"/>
          <w:lang w:val="en-US"/>
        </w:rPr>
        <w:t xml:space="preserve">, &amp; PLYUGINA, I. V. </w:t>
      </w:r>
      <w:r w:rsidRPr="00846903">
        <w:rPr>
          <w:rFonts w:ascii="minion3" w:hAnsi="minion3"/>
          <w:sz w:val="22"/>
          <w:szCs w:val="22"/>
          <w:lang w:val="en-US"/>
        </w:rPr>
        <w:t xml:space="preserve">(2019). </w:t>
      </w:r>
      <w:r w:rsidRPr="00846903">
        <w:rPr>
          <w:rFonts w:ascii="minion3" w:hAnsi="minion3"/>
          <w:i/>
          <w:iCs/>
          <w:sz w:val="22"/>
          <w:szCs w:val="22"/>
          <w:lang w:val="en-US"/>
        </w:rPr>
        <w:t>Migration legislation of the Russian Federation: Development trends and practice of application</w:t>
      </w:r>
      <w:r w:rsidRPr="00846903">
        <w:rPr>
          <w:rFonts w:ascii="minion3" w:hAnsi="minion3"/>
          <w:sz w:val="22"/>
          <w:szCs w:val="22"/>
          <w:lang w:val="en-US"/>
        </w:rPr>
        <w:t xml:space="preserve">. Legal </w:t>
      </w:r>
      <w:r w:rsidR="001A75CF">
        <w:rPr>
          <w:rFonts w:ascii="minion3" w:hAnsi="minion3"/>
          <w:sz w:val="22"/>
          <w:szCs w:val="22"/>
          <w:lang w:val="en-US"/>
        </w:rPr>
        <w:t>publishing</w:t>
      </w:r>
      <w:r w:rsidR="001A75CF" w:rsidRPr="001A75CF">
        <w:rPr>
          <w:rFonts w:ascii="minion3" w:hAnsi="minion3"/>
          <w:color w:val="CE0056"/>
          <w:sz w:val="18"/>
          <w:szCs w:val="18"/>
          <w:lang w:val="en-US"/>
        </w:rPr>
        <w:t xml:space="preserve">  </w:t>
      </w:r>
      <w:r w:rsidRPr="00846903">
        <w:rPr>
          <w:rFonts w:ascii="minion3" w:hAnsi="minion3"/>
          <w:sz w:val="22"/>
          <w:szCs w:val="22"/>
          <w:lang w:val="en-US"/>
        </w:rPr>
        <w:t>house</w:t>
      </w:r>
      <w:r w:rsidR="001A75CF" w:rsidRPr="001A75CF">
        <w:rPr>
          <w:rFonts w:ascii="minion3" w:hAnsi="minion3"/>
          <w:color w:val="CE0056"/>
          <w:sz w:val="18"/>
          <w:szCs w:val="18"/>
          <w:lang w:val="en-US"/>
        </w:rPr>
        <w:t xml:space="preserve"> </w:t>
      </w:r>
      <w:r w:rsidRPr="00846903">
        <w:rPr>
          <w:rFonts w:ascii="minion3" w:hAnsi="minion3"/>
          <w:sz w:val="22"/>
          <w:szCs w:val="22"/>
          <w:lang w:val="en-US"/>
        </w:rPr>
        <w:t>“Norma”</w:t>
      </w:r>
      <w:r w:rsidR="001A75CF" w:rsidRPr="001A75CF">
        <w:rPr>
          <w:rFonts w:ascii="minion3" w:hAnsi="minion3"/>
          <w:color w:val="CE0056"/>
          <w:sz w:val="18"/>
          <w:szCs w:val="18"/>
          <w:lang w:val="en-US"/>
        </w:rPr>
        <w:t xml:space="preserve"> </w:t>
      </w:r>
      <w:r w:rsidRPr="00846903">
        <w:rPr>
          <w:rFonts w:ascii="minion3" w:hAnsi="minion3"/>
          <w:color w:val="CE0056"/>
          <w:sz w:val="22"/>
          <w:szCs w:val="22"/>
          <w:lang w:val="en-US"/>
        </w:rPr>
        <w:t>https://eli</w:t>
      </w:r>
      <w:bookmarkStart w:id="0" w:name="_GoBack"/>
      <w:bookmarkEnd w:id="0"/>
      <w:r w:rsidRPr="00846903">
        <w:rPr>
          <w:rFonts w:ascii="minion3" w:hAnsi="minion3"/>
          <w:color w:val="CE0056"/>
          <w:sz w:val="22"/>
          <w:szCs w:val="22"/>
          <w:lang w:val="en-US"/>
        </w:rPr>
        <w:t>brary.ru/zdslul</w:t>
      </w:r>
      <w:r w:rsidRPr="00846903">
        <w:rPr>
          <w:rFonts w:ascii="minion3" w:hAnsi="minion3"/>
          <w:sz w:val="22"/>
          <w:szCs w:val="22"/>
          <w:lang w:val="en-US"/>
        </w:rPr>
        <w:t xml:space="preserve">. </w:t>
      </w:r>
    </w:p>
    <w:p w:rsidR="00846903" w:rsidRPr="00846903" w:rsidRDefault="00846903" w:rsidP="00846903">
      <w:pPr>
        <w:pStyle w:val="a3"/>
        <w:rPr>
          <w:lang w:val="en-US"/>
        </w:rPr>
      </w:pPr>
      <w:r w:rsidRPr="00846903">
        <w:rPr>
          <w:rFonts w:ascii="minion3" w:hAnsi="minion3"/>
          <w:i/>
          <w:iCs/>
          <w:sz w:val="22"/>
          <w:szCs w:val="22"/>
          <w:lang w:val="en-US"/>
        </w:rPr>
        <w:t xml:space="preserve"> </w:t>
      </w:r>
    </w:p>
    <w:p w:rsidR="00C85D60" w:rsidRPr="00C85D60" w:rsidRDefault="00C85D60" w:rsidP="00C85D60">
      <w:pPr>
        <w:pStyle w:val="a3"/>
        <w:rPr>
          <w:lang w:val="en-US"/>
        </w:rPr>
      </w:pPr>
    </w:p>
    <w:p w:rsidR="00C85D60" w:rsidRPr="00C85D60" w:rsidRDefault="00C85D60">
      <w:pPr>
        <w:rPr>
          <w:lang w:val="en-US"/>
        </w:rPr>
      </w:pPr>
    </w:p>
    <w:sectPr w:rsidR="00C85D60" w:rsidRPr="00C85D60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aNowText">
    <w:altName w:val="Century Gothic"/>
    <w:panose1 w:val="020B0604020202020204"/>
    <w:charset w:val="00"/>
    <w:family w:val="roman"/>
    <w:notTrueType/>
    <w:pitch w:val="default"/>
  </w:font>
  <w:font w:name="minion3">
    <w:altName w:val="Cambria"/>
    <w:panose1 w:val="020B0604020202020204"/>
    <w:charset w:val="00"/>
    <w:family w:val="roman"/>
    <w:pitch w:val="default"/>
  </w:font>
  <w:font w:name="Minion3Caption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60"/>
    <w:rsid w:val="00017B57"/>
    <w:rsid w:val="000706E4"/>
    <w:rsid w:val="00077F28"/>
    <w:rsid w:val="001A75CF"/>
    <w:rsid w:val="00275775"/>
    <w:rsid w:val="00422AC7"/>
    <w:rsid w:val="00520FDA"/>
    <w:rsid w:val="005A30F3"/>
    <w:rsid w:val="00846903"/>
    <w:rsid w:val="00A63ADC"/>
    <w:rsid w:val="00B20582"/>
    <w:rsid w:val="00B425C7"/>
    <w:rsid w:val="00C8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34F1C4"/>
  <w15:chartTrackingRefBased/>
  <w15:docId w15:val="{5DCD1A19-6D56-1B4F-95DE-7F9A3137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D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84690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6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ibrary.ru/item.asp?edn=ubocn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2025-07-17T17:23:00Z</dcterms:created>
  <dcterms:modified xsi:type="dcterms:W3CDTF">2025-07-17T17:37:00Z</dcterms:modified>
</cp:coreProperties>
</file>