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2A8D" w:rsidRPr="00D20565" w:rsidRDefault="002D2A8D" w:rsidP="002D2A8D">
      <w:pPr>
        <w:pStyle w:val="a3"/>
        <w:rPr>
          <w:lang w:val="en-US"/>
        </w:rPr>
      </w:pPr>
      <w:r w:rsidRPr="00D20565">
        <w:rPr>
          <w:rFonts w:ascii="FuturaNewDemi-Reg-Identity-H" w:hAnsi="FuturaNewDemi-Reg-Identity-H"/>
          <w:sz w:val="22"/>
          <w:szCs w:val="22"/>
          <w:lang w:val="en-US"/>
        </w:rPr>
        <w:t xml:space="preserve">REFERENCES </w:t>
      </w:r>
    </w:p>
    <w:p w:rsidR="00D20565" w:rsidRPr="00D20565" w:rsidRDefault="00D20565" w:rsidP="00D20565">
      <w:pPr>
        <w:pStyle w:val="a3"/>
        <w:rPr>
          <w:lang w:val="en-US"/>
        </w:rPr>
      </w:pPr>
      <w:r w:rsidRPr="00D20565">
        <w:rPr>
          <w:rFonts w:ascii="Minion3-Regular-Identity-H" w:hAnsi="Minion3-Regular-Identity-H"/>
          <w:sz w:val="22"/>
          <w:szCs w:val="22"/>
          <w:lang w:val="en-US"/>
        </w:rPr>
        <w:t xml:space="preserve">1. Fischer, S. (1977). Long-Term Contracts, Rational Expectations, and the Optimal Money Supply Rule. JPE 85, pp. 191–205. </w:t>
      </w:r>
    </w:p>
    <w:p w:rsidR="00D20565" w:rsidRPr="00D20565" w:rsidRDefault="00D20565" w:rsidP="00D20565">
      <w:pPr>
        <w:pStyle w:val="a3"/>
        <w:rPr>
          <w:lang w:val="en-US"/>
        </w:rPr>
      </w:pPr>
      <w:r w:rsidRPr="00D20565">
        <w:rPr>
          <w:rFonts w:ascii="Minion3-Regular-Identity-H" w:hAnsi="Minion3-Regular-Identity-H"/>
          <w:sz w:val="22"/>
          <w:szCs w:val="22"/>
          <w:lang w:val="en-US"/>
        </w:rPr>
        <w:t xml:space="preserve">2.Phelps, E.S., Taylor, J.B. (1977). </w:t>
      </w:r>
      <w:proofErr w:type="spellStart"/>
      <w:r w:rsidRPr="00D20565">
        <w:rPr>
          <w:rFonts w:ascii="Minion3-Regular-Identity-H" w:hAnsi="Minion3-Regular-Identity-H"/>
          <w:sz w:val="22"/>
          <w:szCs w:val="22"/>
          <w:lang w:val="en-US"/>
        </w:rPr>
        <w:t>Stabilising</w:t>
      </w:r>
      <w:proofErr w:type="spellEnd"/>
      <w:r w:rsidRPr="00D20565">
        <w:rPr>
          <w:rFonts w:ascii="Minion3-Regular-Identity-H" w:hAnsi="Minion3-Regular-Identity-H"/>
          <w:sz w:val="22"/>
          <w:szCs w:val="22"/>
          <w:lang w:val="en-US"/>
        </w:rPr>
        <w:t xml:space="preserve"> Powers of Monetary Policy under Rational Expectations. JPE 85, pp. 163–90. </w:t>
      </w:r>
    </w:p>
    <w:p w:rsidR="00D20565" w:rsidRPr="00D20565" w:rsidRDefault="00D20565" w:rsidP="00D20565">
      <w:pPr>
        <w:pStyle w:val="a3"/>
        <w:rPr>
          <w:lang w:val="en-US"/>
        </w:rPr>
      </w:pPr>
      <w:r w:rsidRPr="00D20565">
        <w:rPr>
          <w:rFonts w:ascii="Minion3-Regular-Identity-H" w:hAnsi="Minion3-Regular-Identity-H"/>
          <w:sz w:val="22"/>
          <w:szCs w:val="22"/>
          <w:lang w:val="en-US"/>
        </w:rPr>
        <w:t xml:space="preserve">3. Frankel, J. (2010). Monetary policy in emerging markets, </w:t>
      </w:r>
      <w:r w:rsidRPr="00D20565">
        <w:rPr>
          <w:rFonts w:ascii="Minion3-Italic-Identity-H" w:hAnsi="Minion3-Italic-Identity-H"/>
          <w:sz w:val="22"/>
          <w:szCs w:val="22"/>
          <w:lang w:val="en-US"/>
        </w:rPr>
        <w:t>Handbook of Monetary Economics</w:t>
      </w:r>
      <w:r w:rsidRPr="00D20565">
        <w:rPr>
          <w:rFonts w:ascii="Minion3-Regular-Identity-H" w:hAnsi="Minion3-Regular-Identity-H"/>
          <w:sz w:val="22"/>
          <w:szCs w:val="22"/>
          <w:lang w:val="en-US"/>
        </w:rPr>
        <w:t xml:space="preserve">, vol. 3. Elsevier. Pp. 1439–1520. </w:t>
      </w:r>
    </w:p>
    <w:p w:rsidR="00D20565" w:rsidRPr="00D20565" w:rsidRDefault="00D20565" w:rsidP="00D20565">
      <w:pPr>
        <w:pStyle w:val="a3"/>
        <w:rPr>
          <w:lang w:val="en-US"/>
        </w:rPr>
      </w:pPr>
      <w:r w:rsidRPr="00D20565">
        <w:rPr>
          <w:rFonts w:ascii="Minion3-Regular-Identity-H" w:hAnsi="Minion3-Regular-Identity-H"/>
          <w:sz w:val="22"/>
          <w:szCs w:val="22"/>
          <w:lang w:val="en-US"/>
        </w:rPr>
        <w:t xml:space="preserve">4. </w:t>
      </w:r>
      <w:proofErr w:type="spellStart"/>
      <w:r w:rsidRPr="00D20565">
        <w:rPr>
          <w:rFonts w:ascii="Minion3-Regular-Identity-H" w:hAnsi="Minion3-Regular-Identity-H"/>
          <w:sz w:val="22"/>
          <w:szCs w:val="22"/>
          <w:lang w:val="en-US"/>
        </w:rPr>
        <w:t>Corsetti</w:t>
      </w:r>
      <w:proofErr w:type="spellEnd"/>
      <w:r w:rsidRPr="00D20565">
        <w:rPr>
          <w:rFonts w:ascii="Minion3-Regular-Identity-H" w:hAnsi="Minion3-Regular-Identity-H"/>
          <w:sz w:val="22"/>
          <w:szCs w:val="22"/>
          <w:lang w:val="en-US"/>
        </w:rPr>
        <w:t xml:space="preserve"> G., </w:t>
      </w:r>
      <w:proofErr w:type="spellStart"/>
      <w:r w:rsidRPr="00D20565">
        <w:rPr>
          <w:rFonts w:ascii="Minion3-Regular-Identity-H" w:hAnsi="Minion3-Regular-Identity-H"/>
          <w:sz w:val="22"/>
          <w:szCs w:val="22"/>
          <w:lang w:val="en-US"/>
        </w:rPr>
        <w:t>Dedola</w:t>
      </w:r>
      <w:proofErr w:type="spellEnd"/>
      <w:r w:rsidRPr="00D20565">
        <w:rPr>
          <w:rFonts w:ascii="Minion3-Regular-Identity-H" w:hAnsi="Minion3-Regular-Identity-H"/>
          <w:sz w:val="22"/>
          <w:szCs w:val="22"/>
          <w:lang w:val="en-US"/>
        </w:rPr>
        <w:t xml:space="preserve"> L., Sylvain L. (2010). Optimal monetary policy in open economies, </w:t>
      </w:r>
      <w:r w:rsidRPr="00D20565">
        <w:rPr>
          <w:rFonts w:ascii="Minion3-Italic-Identity-H" w:hAnsi="Minion3-Italic-Identity-H"/>
          <w:sz w:val="22"/>
          <w:szCs w:val="22"/>
          <w:lang w:val="en-US"/>
        </w:rPr>
        <w:t>Handbook of Monetary Economics</w:t>
      </w:r>
      <w:r w:rsidRPr="00D20565">
        <w:rPr>
          <w:rFonts w:ascii="Minion3-Regular-Identity-H" w:hAnsi="Minion3-Regular-Identity-H"/>
          <w:sz w:val="22"/>
          <w:szCs w:val="22"/>
          <w:lang w:val="en-US"/>
        </w:rPr>
        <w:t xml:space="preserve">, vol. 3. Elsevier. Pp. 861–933. </w:t>
      </w:r>
    </w:p>
    <w:p w:rsidR="00D20565" w:rsidRPr="00D20565" w:rsidRDefault="00D20565" w:rsidP="00D20565">
      <w:pPr>
        <w:pStyle w:val="a3"/>
        <w:rPr>
          <w:lang w:val="en-US"/>
        </w:rPr>
      </w:pPr>
      <w:r w:rsidRPr="00D20565">
        <w:rPr>
          <w:rFonts w:ascii="Minion3-Regular-Identity-H" w:hAnsi="Minion3-Regular-Identity-H"/>
          <w:sz w:val="22"/>
          <w:szCs w:val="22"/>
          <w:lang w:val="en-US"/>
        </w:rPr>
        <w:t xml:space="preserve">5. Pain N., Lewis C., Dang T., </w:t>
      </w:r>
      <w:proofErr w:type="spellStart"/>
      <w:r w:rsidRPr="00D20565">
        <w:rPr>
          <w:rFonts w:ascii="Minion3-Regular-Identity-H" w:hAnsi="Minion3-Regular-Identity-H"/>
          <w:sz w:val="22"/>
          <w:szCs w:val="22"/>
          <w:lang w:val="en-US"/>
        </w:rPr>
        <w:t>Jin</w:t>
      </w:r>
      <w:proofErr w:type="spellEnd"/>
      <w:r w:rsidRPr="00D20565">
        <w:rPr>
          <w:rFonts w:ascii="Minion3-Regular-Identity-H" w:hAnsi="Minion3-Regular-Identity-H"/>
          <w:sz w:val="22"/>
          <w:szCs w:val="22"/>
          <w:lang w:val="en-US"/>
        </w:rPr>
        <w:t xml:space="preserve"> Y., Richardson P. (2014). OECD forecasts during and after the financial crisis: A post mortem. OECD Economics Department Working Paper. No. 1077. </w:t>
      </w:r>
    </w:p>
    <w:p w:rsidR="008737DC" w:rsidRPr="008737DC" w:rsidRDefault="00D20565" w:rsidP="008737DC">
      <w:pPr>
        <w:pStyle w:val="a3"/>
        <w:rPr>
          <w:lang w:val="en-US"/>
        </w:rPr>
      </w:pPr>
      <w:r w:rsidRPr="00D20565">
        <w:rPr>
          <w:rFonts w:ascii="Minion3-Regular-Identity-H" w:hAnsi="Minion3-Regular-Identity-H"/>
          <w:sz w:val="22"/>
          <w:szCs w:val="22"/>
          <w:lang w:val="en-US"/>
        </w:rPr>
        <w:t xml:space="preserve">6. </w:t>
      </w:r>
      <w:proofErr w:type="spellStart"/>
      <w:r w:rsidRPr="00D20565">
        <w:rPr>
          <w:rFonts w:ascii="Minion3-Regular-Identity-H" w:hAnsi="Minion3-Regular-Identity-H"/>
          <w:sz w:val="22"/>
          <w:szCs w:val="22"/>
          <w:lang w:val="en-US"/>
        </w:rPr>
        <w:t>Bouis</w:t>
      </w:r>
      <w:proofErr w:type="spellEnd"/>
      <w:r w:rsidRPr="00D20565">
        <w:rPr>
          <w:rFonts w:ascii="Minion3-Regular-Identity-H" w:hAnsi="Minion3-Regular-Identity-H"/>
          <w:sz w:val="22"/>
          <w:szCs w:val="22"/>
          <w:lang w:val="en-US"/>
        </w:rPr>
        <w:t xml:space="preserve"> R., </w:t>
      </w:r>
      <w:proofErr w:type="spellStart"/>
      <w:r w:rsidRPr="00D20565">
        <w:rPr>
          <w:rFonts w:ascii="Minion3-Regular-Identity-H" w:hAnsi="Minion3-Regular-Identity-H"/>
          <w:sz w:val="22"/>
          <w:szCs w:val="22"/>
          <w:lang w:val="en-US"/>
        </w:rPr>
        <w:t>Rawdanowicz</w:t>
      </w:r>
      <w:proofErr w:type="spellEnd"/>
      <w:r w:rsidRPr="00D20565">
        <w:rPr>
          <w:rFonts w:ascii="Minion3-Regular-Identity-H" w:hAnsi="Minion3-Regular-Identity-H"/>
          <w:sz w:val="22"/>
          <w:szCs w:val="22"/>
          <w:lang w:val="en-US"/>
        </w:rPr>
        <w:t xml:space="preserve"> L., </w:t>
      </w:r>
      <w:proofErr w:type="spellStart"/>
      <w:r w:rsidRPr="00D20565">
        <w:rPr>
          <w:rFonts w:ascii="Minion3-Regular-Identity-H" w:hAnsi="Minion3-Regular-Identity-H"/>
          <w:sz w:val="22"/>
          <w:szCs w:val="22"/>
          <w:lang w:val="en-US"/>
        </w:rPr>
        <w:t>Renne</w:t>
      </w:r>
      <w:proofErr w:type="spellEnd"/>
      <w:r w:rsidRPr="00D20565">
        <w:rPr>
          <w:rFonts w:ascii="Minion3-Regular-Identity-H" w:hAnsi="Minion3-Regular-Identity-H"/>
          <w:sz w:val="22"/>
          <w:szCs w:val="22"/>
          <w:lang w:val="en-US"/>
        </w:rPr>
        <w:t xml:space="preserve"> J.-P., Watanabe S., Christensen A.K. (2013). The effectiveness of monetary policy since the onset of the financial cri </w:t>
      </w:r>
      <w:r w:rsidR="008737DC" w:rsidRPr="008737DC">
        <w:rPr>
          <w:rFonts w:ascii="Minion3-Regular-Identity-H" w:hAnsi="Minion3-Regular-Identity-H"/>
          <w:sz w:val="22"/>
          <w:szCs w:val="22"/>
          <w:lang w:val="en-US"/>
        </w:rPr>
        <w:t xml:space="preserve">sis. OECD Economics Department Working Paper. No. 1081. </w:t>
      </w:r>
    </w:p>
    <w:p w:rsidR="008737DC" w:rsidRPr="008737DC" w:rsidRDefault="008737DC" w:rsidP="008737DC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en-US" w:eastAsia="ru-RU"/>
        </w:rPr>
      </w:pPr>
      <w:r w:rsidRPr="008737DC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7. Rubio M. (2020). Monetary policy, credit markets, and banks: A DSGE perspective, </w:t>
      </w:r>
      <w:r w:rsidRPr="008737DC">
        <w:rPr>
          <w:rFonts w:ascii="Minion3-Italic-Identity-H" w:eastAsia="Times New Roman" w:hAnsi="Minion3-Italic-Identity-H" w:cs="Times New Roman"/>
          <w:sz w:val="22"/>
          <w:szCs w:val="22"/>
          <w:lang w:val="en-US" w:eastAsia="ru-RU"/>
        </w:rPr>
        <w:t xml:space="preserve">Economics Let- </w:t>
      </w:r>
      <w:proofErr w:type="spellStart"/>
      <w:r w:rsidRPr="008737DC">
        <w:rPr>
          <w:rFonts w:ascii="Minion3-Italic-Identity-H" w:eastAsia="Times New Roman" w:hAnsi="Minion3-Italic-Identity-H" w:cs="Times New Roman"/>
          <w:sz w:val="22"/>
          <w:szCs w:val="22"/>
          <w:lang w:val="en-US" w:eastAsia="ru-RU"/>
        </w:rPr>
        <w:t>ters</w:t>
      </w:r>
      <w:proofErr w:type="spellEnd"/>
      <w:r w:rsidRPr="008737DC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, vol. 195, no. 109481. DOI: 10.1016/j.econlet.20 20.109481. </w:t>
      </w:r>
    </w:p>
    <w:p w:rsidR="008737DC" w:rsidRPr="008737DC" w:rsidRDefault="008737DC" w:rsidP="008737DC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en-US" w:eastAsia="ru-RU"/>
        </w:rPr>
      </w:pPr>
      <w:r w:rsidRPr="008737DC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8. </w:t>
      </w:r>
      <w:proofErr w:type="spellStart"/>
      <w:r w:rsidRPr="008737DC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>Rajan</w:t>
      </w:r>
      <w:proofErr w:type="spellEnd"/>
      <w:r w:rsidRPr="008737DC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 R.G. (2005). Has financial development made the world riskier? Proceedings – Economic Policy Symposium – Jackson Hole. Federal Reserve Bank of Kansas City. August. Pp. 313–369. </w:t>
      </w:r>
    </w:p>
    <w:p w:rsidR="008737DC" w:rsidRPr="008737DC" w:rsidRDefault="008737DC" w:rsidP="008737DC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en-US" w:eastAsia="ru-RU"/>
        </w:rPr>
      </w:pPr>
      <w:r w:rsidRPr="008737DC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9. </w:t>
      </w:r>
      <w:proofErr w:type="spellStart"/>
      <w:r w:rsidRPr="008737DC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>Altunbasa</w:t>
      </w:r>
      <w:proofErr w:type="spellEnd"/>
      <w:r w:rsidRPr="008737DC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 Y., </w:t>
      </w:r>
      <w:proofErr w:type="spellStart"/>
      <w:r w:rsidRPr="008737DC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>Gambacorta</w:t>
      </w:r>
      <w:proofErr w:type="spellEnd"/>
      <w:r w:rsidRPr="008737DC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 L., Marques- Ibanez D. (2014). Does monetary policy affect bank risk? </w:t>
      </w:r>
      <w:r w:rsidRPr="008737DC">
        <w:rPr>
          <w:rFonts w:ascii="Minion3-Italic-Identity-H" w:eastAsia="Times New Roman" w:hAnsi="Minion3-Italic-Identity-H" w:cs="Times New Roman"/>
          <w:sz w:val="22"/>
          <w:szCs w:val="22"/>
          <w:lang w:val="en-US" w:eastAsia="ru-RU"/>
        </w:rPr>
        <w:t>International Journal of Central Banking</w:t>
      </w:r>
      <w:r w:rsidRPr="008737DC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. March. Pp. 95–135. </w:t>
      </w:r>
    </w:p>
    <w:p w:rsidR="008737DC" w:rsidRPr="008737DC" w:rsidRDefault="008737DC" w:rsidP="008737DC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en-US" w:eastAsia="ru-RU"/>
        </w:rPr>
      </w:pPr>
      <w:r w:rsidRPr="008737DC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10. </w:t>
      </w:r>
      <w:proofErr w:type="spellStart"/>
      <w:r w:rsidRPr="008737DC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>Jiménez</w:t>
      </w:r>
      <w:proofErr w:type="spellEnd"/>
      <w:r w:rsidRPr="008737DC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 G., </w:t>
      </w:r>
      <w:proofErr w:type="spellStart"/>
      <w:r w:rsidRPr="008737DC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>Ongena</w:t>
      </w:r>
      <w:proofErr w:type="spellEnd"/>
      <w:r w:rsidRPr="008737DC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 S., </w:t>
      </w:r>
      <w:proofErr w:type="spellStart"/>
      <w:r w:rsidRPr="008737DC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>Peydro</w:t>
      </w:r>
      <w:proofErr w:type="spellEnd"/>
      <w:r w:rsidRPr="008737DC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́ J.-L., </w:t>
      </w:r>
      <w:proofErr w:type="spellStart"/>
      <w:r w:rsidRPr="008737DC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>Saurina</w:t>
      </w:r>
      <w:proofErr w:type="spellEnd"/>
      <w:r w:rsidRPr="008737DC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 J. (2014). Hazardous times for monetary policy: What do twenty-three million bank loans say about the effects of monetary policy on credit risk-taking? </w:t>
      </w:r>
      <w:proofErr w:type="spellStart"/>
      <w:r w:rsidRPr="008737DC">
        <w:rPr>
          <w:rFonts w:ascii="Minion3-Italic-Identity-H" w:eastAsia="Times New Roman" w:hAnsi="Minion3-Italic-Identity-H" w:cs="Times New Roman"/>
          <w:sz w:val="22"/>
          <w:szCs w:val="22"/>
          <w:lang w:val="en-US" w:eastAsia="ru-RU"/>
        </w:rPr>
        <w:t>Econometrica</w:t>
      </w:r>
      <w:proofErr w:type="spellEnd"/>
      <w:r w:rsidRPr="008737DC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, vol. 82, no. 2, pp. 463–505. </w:t>
      </w:r>
    </w:p>
    <w:p w:rsidR="008737DC" w:rsidRPr="008737DC" w:rsidRDefault="008737DC" w:rsidP="008737DC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en-US" w:eastAsia="ru-RU"/>
        </w:rPr>
      </w:pPr>
      <w:r w:rsidRPr="008737DC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11. </w:t>
      </w:r>
      <w:proofErr w:type="spellStart"/>
      <w:r w:rsidRPr="008737DC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>Filiani</w:t>
      </w:r>
      <w:proofErr w:type="spellEnd"/>
      <w:r w:rsidRPr="008737DC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 P. (2021). Optimal monetary-fiscal policy in the euro area liquidity crisis, </w:t>
      </w:r>
      <w:r w:rsidRPr="008737DC">
        <w:rPr>
          <w:rFonts w:ascii="Minion3-Italic-Identity-H" w:eastAsia="Times New Roman" w:hAnsi="Minion3-Italic-Identity-H" w:cs="Times New Roman"/>
          <w:sz w:val="22"/>
          <w:szCs w:val="22"/>
          <w:lang w:val="en-US" w:eastAsia="ru-RU"/>
        </w:rPr>
        <w:t>Journal of Macroeconomics</w:t>
      </w:r>
      <w:r w:rsidRPr="008737DC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, vol. 70, no. 103364. DOI: 10.101 6/j.jmacro.2021.103364. </w:t>
      </w:r>
    </w:p>
    <w:p w:rsidR="008737DC" w:rsidRPr="008737DC" w:rsidRDefault="008737DC" w:rsidP="008737DC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en-US" w:eastAsia="ru-RU"/>
        </w:rPr>
      </w:pPr>
      <w:r w:rsidRPr="008737DC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12. </w:t>
      </w:r>
      <w:proofErr w:type="spellStart"/>
      <w:r w:rsidRPr="008737DC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>Andries</w:t>
      </w:r>
      <w:proofErr w:type="spellEnd"/>
      <w:r w:rsidRPr="008737DC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 A.M., </w:t>
      </w:r>
      <w:proofErr w:type="spellStart"/>
      <w:r w:rsidRPr="008737DC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>Plescau</w:t>
      </w:r>
      <w:proofErr w:type="spellEnd"/>
      <w:r w:rsidRPr="008737DC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 I. (2020). The Risk- Taking Channel of Monetary Policy: Do </w:t>
      </w:r>
      <w:proofErr w:type="spellStart"/>
      <w:r w:rsidRPr="008737DC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>Macropru</w:t>
      </w:r>
      <w:proofErr w:type="spellEnd"/>
      <w:r w:rsidRPr="008737DC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- </w:t>
      </w:r>
      <w:proofErr w:type="spellStart"/>
      <w:r w:rsidRPr="008737DC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>dential</w:t>
      </w:r>
      <w:proofErr w:type="spellEnd"/>
      <w:r w:rsidRPr="008737DC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 Regulation and Central Bank Independence Influence the Transmission of Interest Rates? </w:t>
      </w:r>
      <w:r w:rsidRPr="008737DC">
        <w:rPr>
          <w:rFonts w:ascii="Minion3-Italic-Identity-H" w:eastAsia="Times New Roman" w:hAnsi="Minion3-Italic-Identity-H" w:cs="Times New Roman"/>
          <w:sz w:val="22"/>
          <w:szCs w:val="22"/>
          <w:lang w:val="en-US" w:eastAsia="ru-RU"/>
        </w:rPr>
        <w:t xml:space="preserve">Roma- </w:t>
      </w:r>
      <w:proofErr w:type="spellStart"/>
      <w:r w:rsidRPr="008737DC">
        <w:rPr>
          <w:rFonts w:ascii="Minion3-Italic-Identity-H" w:eastAsia="Times New Roman" w:hAnsi="Minion3-Italic-Identity-H" w:cs="Times New Roman"/>
          <w:sz w:val="22"/>
          <w:szCs w:val="22"/>
          <w:lang w:val="en-US" w:eastAsia="ru-RU"/>
        </w:rPr>
        <w:t>nian</w:t>
      </w:r>
      <w:proofErr w:type="spellEnd"/>
      <w:r w:rsidRPr="008737DC">
        <w:rPr>
          <w:rFonts w:ascii="Minion3-Italic-Identity-H" w:eastAsia="Times New Roman" w:hAnsi="Minion3-Italic-Identity-H" w:cs="Times New Roman"/>
          <w:sz w:val="22"/>
          <w:szCs w:val="22"/>
          <w:lang w:val="en-US" w:eastAsia="ru-RU"/>
        </w:rPr>
        <w:t xml:space="preserve"> Journal </w:t>
      </w:r>
      <w:r w:rsidRPr="008737DC">
        <w:rPr>
          <w:rFonts w:ascii="Tahoma" w:eastAsia="Times New Roman" w:hAnsi="Tahoma" w:cs="Tahoma"/>
          <w:sz w:val="22"/>
          <w:szCs w:val="22"/>
          <w:lang w:eastAsia="ru-RU"/>
        </w:rPr>
        <w:t>օ</w:t>
      </w:r>
      <w:r w:rsidRPr="008737DC">
        <w:rPr>
          <w:rFonts w:ascii="Minion3-Italic-Identity-H" w:eastAsia="Times New Roman" w:hAnsi="Minion3-Italic-Identity-H" w:cs="Times New Roman"/>
          <w:sz w:val="22"/>
          <w:szCs w:val="22"/>
          <w:lang w:val="en-US" w:eastAsia="ru-RU"/>
        </w:rPr>
        <w:t>f Economic Forecasting</w:t>
      </w:r>
      <w:r w:rsidRPr="008737DC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, vol. 23, no. 3, pp. 5–30. </w:t>
      </w:r>
    </w:p>
    <w:p w:rsidR="008737DC" w:rsidRPr="008737DC" w:rsidRDefault="008737DC" w:rsidP="008737DC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en-US" w:eastAsia="ru-RU"/>
        </w:rPr>
      </w:pPr>
      <w:r w:rsidRPr="008737DC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13. Nawaz M., Mazhar Iqbal M., Ali A. (2018). Institutional Quality and Cyclicality of Monetary and Fiscal Policies in SAARC Countries, </w:t>
      </w:r>
      <w:r w:rsidRPr="008737DC">
        <w:rPr>
          <w:rFonts w:ascii="Minion3-Italic-Identity-H" w:eastAsia="Times New Roman" w:hAnsi="Minion3-Italic-Identity-H" w:cs="Times New Roman"/>
          <w:sz w:val="22"/>
          <w:szCs w:val="22"/>
          <w:lang w:val="en-US" w:eastAsia="ru-RU"/>
        </w:rPr>
        <w:t>Transylvanian Review of Administrative Sciences</w:t>
      </w:r>
      <w:r w:rsidRPr="008737DC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, vol. 55E, pp. 32– 44. DOI: 10.24193/tras.55E.3. </w:t>
      </w:r>
    </w:p>
    <w:p w:rsidR="008737DC" w:rsidRPr="008737DC" w:rsidRDefault="008737DC" w:rsidP="008737DC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en-US" w:eastAsia="ru-RU"/>
        </w:rPr>
      </w:pPr>
      <w:r w:rsidRPr="008737DC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14. </w:t>
      </w:r>
      <w:proofErr w:type="spellStart"/>
      <w:r w:rsidRPr="008737DC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>Aliaga</w:t>
      </w:r>
      <w:proofErr w:type="spellEnd"/>
      <w:r w:rsidRPr="008737DC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-Diaz R., Olivero M.P., Powell A. (2018). Monetary Policy and Anti-Cyclical Bank Capital Regulation, </w:t>
      </w:r>
      <w:r w:rsidRPr="008737DC">
        <w:rPr>
          <w:rFonts w:ascii="Minion3-Italic-Identity-H" w:eastAsia="Times New Roman" w:hAnsi="Minion3-Italic-Identity-H" w:cs="Times New Roman"/>
          <w:sz w:val="22"/>
          <w:szCs w:val="22"/>
          <w:lang w:val="en-US" w:eastAsia="ru-RU"/>
        </w:rPr>
        <w:t>Economic Inquiry</w:t>
      </w:r>
      <w:r w:rsidRPr="008737DC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, vol. 56, no. 2, pp. 837– 858. DOI: 10.1111/ecin.12501. </w:t>
      </w:r>
    </w:p>
    <w:p w:rsidR="008737DC" w:rsidRPr="008737DC" w:rsidRDefault="008737DC" w:rsidP="008737DC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en-US" w:eastAsia="ru-RU"/>
        </w:rPr>
      </w:pPr>
      <w:r w:rsidRPr="008737DC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15.Azariadis C., Bullard J., Singh A., </w:t>
      </w:r>
      <w:proofErr w:type="spellStart"/>
      <w:r w:rsidRPr="008737DC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>Suda</w:t>
      </w:r>
      <w:proofErr w:type="spellEnd"/>
      <w:r w:rsidRPr="008737DC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 J. (2019). Incomplete credit markets and monetary policy. </w:t>
      </w:r>
      <w:r w:rsidRPr="008737DC">
        <w:rPr>
          <w:rFonts w:ascii="Minion3-Italic-Identity-H" w:eastAsia="Times New Roman" w:hAnsi="Minion3-Italic-Identity-H" w:cs="Times New Roman"/>
          <w:sz w:val="22"/>
          <w:szCs w:val="22"/>
          <w:lang w:val="en-US" w:eastAsia="ru-RU"/>
        </w:rPr>
        <w:t>Journal of Economic Dynamics &amp; Control</w:t>
      </w:r>
      <w:r w:rsidRPr="008737DC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, vol. 103, pp. 83–101. DOI: 10.1016/j.jedc.2019.03 .005. </w:t>
      </w:r>
    </w:p>
    <w:p w:rsidR="008737DC" w:rsidRPr="008737DC" w:rsidRDefault="008737DC" w:rsidP="008737DC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en-US" w:eastAsia="ru-RU"/>
        </w:rPr>
      </w:pPr>
      <w:r w:rsidRPr="008737DC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16. Medina J.P., </w:t>
      </w:r>
      <w:proofErr w:type="spellStart"/>
      <w:r w:rsidRPr="008737DC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>Roldos</w:t>
      </w:r>
      <w:proofErr w:type="spellEnd"/>
      <w:r w:rsidRPr="008737DC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 J. (2018). Monetary and Macroprudential Policies to Manage Capital Flows, </w:t>
      </w:r>
      <w:r w:rsidRPr="008737DC">
        <w:rPr>
          <w:rFonts w:ascii="Minion3-Italic-Identity-H" w:eastAsia="Times New Roman" w:hAnsi="Minion3-Italic-Identity-H" w:cs="Times New Roman"/>
          <w:sz w:val="22"/>
          <w:szCs w:val="22"/>
          <w:lang w:val="en-US" w:eastAsia="ru-RU"/>
        </w:rPr>
        <w:t>International Journal of Central Banking</w:t>
      </w:r>
      <w:r w:rsidRPr="008737DC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, vol. 14, no. 1, pp. 201–257. </w:t>
      </w:r>
    </w:p>
    <w:p w:rsidR="008737DC" w:rsidRPr="008737DC" w:rsidRDefault="008737DC" w:rsidP="008737DC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en-US" w:eastAsia="ru-RU"/>
        </w:rPr>
      </w:pPr>
      <w:r w:rsidRPr="008737DC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lastRenderedPageBreak/>
        <w:t xml:space="preserve">17. Frankel J.A. (2011). Monetary policy in emerging markets. In: Freidman B., Woodford M. (eds.). Handbook of Monetary Economics, vol. 3B. North Holland, Amsterdam. Pp. 1439–1520. </w:t>
      </w:r>
    </w:p>
    <w:p w:rsidR="008737DC" w:rsidRPr="008737DC" w:rsidRDefault="008737DC" w:rsidP="008737DC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en-US" w:eastAsia="ru-RU"/>
        </w:rPr>
      </w:pPr>
      <w:r w:rsidRPr="008737DC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18. </w:t>
      </w:r>
      <w:proofErr w:type="spellStart"/>
      <w:r w:rsidRPr="008737DC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>McGettingham</w:t>
      </w:r>
      <w:proofErr w:type="spellEnd"/>
      <w:r w:rsidRPr="008737DC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 D., Moriyama K., </w:t>
      </w:r>
      <w:proofErr w:type="spellStart"/>
      <w:r w:rsidRPr="008737DC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>Ntsama</w:t>
      </w:r>
      <w:proofErr w:type="spellEnd"/>
      <w:r w:rsidRPr="008737DC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 J.N.N., </w:t>
      </w:r>
      <w:proofErr w:type="spellStart"/>
      <w:r w:rsidRPr="008737DC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>Painchard</w:t>
      </w:r>
      <w:proofErr w:type="spellEnd"/>
      <w:r w:rsidRPr="008737DC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 F., Qu H., Steinberg C. (2013). Monetary policy in emerging markets: taming the cycle. IMF Working Paper 13/96. </w:t>
      </w:r>
    </w:p>
    <w:p w:rsidR="008737DC" w:rsidRPr="008737DC" w:rsidRDefault="008737DC" w:rsidP="008737DC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en-US" w:eastAsia="ru-RU"/>
        </w:rPr>
      </w:pPr>
      <w:r w:rsidRPr="008737DC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19. </w:t>
      </w:r>
      <w:proofErr w:type="spellStart"/>
      <w:r w:rsidRPr="008737DC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>Vegh</w:t>
      </w:r>
      <w:proofErr w:type="spellEnd"/>
      <w:r w:rsidRPr="008737DC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 C.A., </w:t>
      </w:r>
      <w:proofErr w:type="spellStart"/>
      <w:r w:rsidRPr="008737DC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>Vuletin</w:t>
      </w:r>
      <w:proofErr w:type="spellEnd"/>
      <w:r w:rsidRPr="008737DC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 G. (2013) Overcoming the fear of free falling: monetary policy graduation in emerging markets. NBER Working Paper 18175. </w:t>
      </w:r>
    </w:p>
    <w:p w:rsidR="008737DC" w:rsidRPr="008737DC" w:rsidRDefault="008737DC" w:rsidP="008737DC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en-US" w:eastAsia="ru-RU"/>
        </w:rPr>
      </w:pPr>
      <w:r w:rsidRPr="008737DC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20. Stigler G. (1971). The Theory of Economic Regulation, </w:t>
      </w:r>
      <w:r w:rsidRPr="008737DC">
        <w:rPr>
          <w:rFonts w:ascii="Minion3-Italic-Identity-H" w:eastAsia="Times New Roman" w:hAnsi="Minion3-Italic-Identity-H" w:cs="Times New Roman"/>
          <w:sz w:val="22"/>
          <w:szCs w:val="22"/>
          <w:lang w:val="en-US" w:eastAsia="ru-RU"/>
        </w:rPr>
        <w:t xml:space="preserve">The Bell Journal of Economics and Man- </w:t>
      </w:r>
      <w:proofErr w:type="spellStart"/>
      <w:r w:rsidRPr="008737DC">
        <w:rPr>
          <w:rFonts w:ascii="Minion3-Italic-Identity-H" w:eastAsia="Times New Roman" w:hAnsi="Minion3-Italic-Identity-H" w:cs="Times New Roman"/>
          <w:sz w:val="22"/>
          <w:szCs w:val="22"/>
          <w:lang w:val="en-US" w:eastAsia="ru-RU"/>
        </w:rPr>
        <w:t>agement</w:t>
      </w:r>
      <w:proofErr w:type="spellEnd"/>
      <w:r w:rsidRPr="008737DC">
        <w:rPr>
          <w:rFonts w:ascii="Minion3-Italic-Identity-H" w:eastAsia="Times New Roman" w:hAnsi="Minion3-Italic-Identity-H" w:cs="Times New Roman"/>
          <w:sz w:val="22"/>
          <w:szCs w:val="22"/>
          <w:lang w:val="en-US" w:eastAsia="ru-RU"/>
        </w:rPr>
        <w:t xml:space="preserve"> Science</w:t>
      </w:r>
      <w:r w:rsidRPr="008737DC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, vol. 2, no. 1, pp. 3–21. </w:t>
      </w:r>
    </w:p>
    <w:p w:rsidR="008737DC" w:rsidRPr="008737DC" w:rsidRDefault="008737DC" w:rsidP="008737DC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en-US" w:eastAsia="ru-RU"/>
        </w:rPr>
      </w:pPr>
      <w:r w:rsidRPr="008737DC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21. </w:t>
      </w:r>
      <w:proofErr w:type="spellStart"/>
      <w:r w:rsidRPr="008737DC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>Calomiris</w:t>
      </w:r>
      <w:proofErr w:type="spellEnd"/>
      <w:r w:rsidRPr="008737DC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 C.W., Haber S.H. (2014). Fragile by design. The political origin of banking crises and </w:t>
      </w:r>
      <w:proofErr w:type="spellStart"/>
      <w:r w:rsidRPr="008737DC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>scarse</w:t>
      </w:r>
      <w:proofErr w:type="spellEnd"/>
      <w:r w:rsidRPr="008737DC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 credit. In: Joel Mokyr (ed.). The Princeton Economic History of the Western World. </w:t>
      </w:r>
    </w:p>
    <w:p w:rsidR="008737DC" w:rsidRPr="008737DC" w:rsidRDefault="008737DC" w:rsidP="008737DC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en-US" w:eastAsia="ru-RU"/>
        </w:rPr>
      </w:pPr>
      <w:r w:rsidRPr="008737DC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22. Posner E.A. (1997). The political economy of the Bankruptcy Reform Act of 1978, </w:t>
      </w:r>
      <w:r w:rsidRPr="008737DC">
        <w:rPr>
          <w:rFonts w:ascii="Minion3-Italic-Identity-H" w:eastAsia="Times New Roman" w:hAnsi="Minion3-Italic-Identity-H" w:cs="Times New Roman"/>
          <w:sz w:val="22"/>
          <w:szCs w:val="22"/>
          <w:lang w:val="en-US" w:eastAsia="ru-RU"/>
        </w:rPr>
        <w:t>Michigan Law Review</w:t>
      </w:r>
      <w:r w:rsidRPr="008737DC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, vol. 96, no. 1, pp. 47–126. </w:t>
      </w:r>
    </w:p>
    <w:p w:rsidR="008737DC" w:rsidRPr="008737DC" w:rsidRDefault="008737DC" w:rsidP="008737DC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en-US" w:eastAsia="ru-RU"/>
        </w:rPr>
      </w:pPr>
      <w:r w:rsidRPr="008737DC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23. </w:t>
      </w:r>
      <w:proofErr w:type="spellStart"/>
      <w:r w:rsidRPr="008737DC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>Kroszner</w:t>
      </w:r>
      <w:proofErr w:type="spellEnd"/>
      <w:r w:rsidRPr="008737DC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 R., Strahan P. (1999). What Drives Deregulation? Economics and Politics of the Relax- </w:t>
      </w:r>
      <w:proofErr w:type="spellStart"/>
      <w:r w:rsidRPr="008737DC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>ation</w:t>
      </w:r>
      <w:proofErr w:type="spellEnd"/>
      <w:r w:rsidRPr="008737DC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 of Bank Branching Restriction, </w:t>
      </w:r>
      <w:r w:rsidRPr="008737DC">
        <w:rPr>
          <w:rFonts w:ascii="Minion3-Italic-Identity-H" w:eastAsia="Times New Roman" w:hAnsi="Minion3-Italic-Identity-H" w:cs="Times New Roman"/>
          <w:sz w:val="22"/>
          <w:szCs w:val="22"/>
          <w:lang w:val="en-US" w:eastAsia="ru-RU"/>
        </w:rPr>
        <w:t xml:space="preserve">Quarterly Jour- </w:t>
      </w:r>
      <w:proofErr w:type="spellStart"/>
      <w:r w:rsidRPr="008737DC">
        <w:rPr>
          <w:rFonts w:ascii="Minion3-Italic-Identity-H" w:eastAsia="Times New Roman" w:hAnsi="Minion3-Italic-Identity-H" w:cs="Times New Roman"/>
          <w:sz w:val="22"/>
          <w:szCs w:val="22"/>
          <w:lang w:val="en-US" w:eastAsia="ru-RU"/>
        </w:rPr>
        <w:t>nal</w:t>
      </w:r>
      <w:proofErr w:type="spellEnd"/>
      <w:r w:rsidRPr="008737DC">
        <w:rPr>
          <w:rFonts w:ascii="Minion3-Italic-Identity-H" w:eastAsia="Times New Roman" w:hAnsi="Minion3-Italic-Identity-H" w:cs="Times New Roman"/>
          <w:sz w:val="22"/>
          <w:szCs w:val="22"/>
          <w:lang w:val="en-US" w:eastAsia="ru-RU"/>
        </w:rPr>
        <w:t xml:space="preserve"> of Economics</w:t>
      </w:r>
      <w:r w:rsidRPr="008737DC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, vol. 114, no. 4, pp. 1437–1467. </w:t>
      </w:r>
    </w:p>
    <w:p w:rsidR="008737DC" w:rsidRPr="008737DC" w:rsidRDefault="008737DC" w:rsidP="008737DC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en-US" w:eastAsia="ru-RU"/>
        </w:rPr>
      </w:pPr>
      <w:r w:rsidRPr="008737DC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24.Benmelech E., and Moskowitz T.J. (2010). The political economy of financial regulation: </w:t>
      </w:r>
      <w:proofErr w:type="spellStart"/>
      <w:r w:rsidRPr="008737DC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>evi</w:t>
      </w:r>
      <w:proofErr w:type="spellEnd"/>
      <w:r w:rsidRPr="008737DC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- </w:t>
      </w:r>
      <w:proofErr w:type="spellStart"/>
      <w:r w:rsidRPr="008737DC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>dence</w:t>
      </w:r>
      <w:proofErr w:type="spellEnd"/>
      <w:r w:rsidRPr="008737DC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 from US state usury laws in the 19th century, </w:t>
      </w:r>
      <w:r w:rsidRPr="008737DC">
        <w:rPr>
          <w:rFonts w:ascii="Minion3-Italic-Identity-H" w:eastAsia="Times New Roman" w:hAnsi="Minion3-Italic-Identity-H" w:cs="Times New Roman"/>
          <w:sz w:val="22"/>
          <w:szCs w:val="22"/>
          <w:lang w:val="en-US" w:eastAsia="ru-RU"/>
        </w:rPr>
        <w:t>The journal of finance</w:t>
      </w:r>
      <w:r w:rsidRPr="008737DC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, vol. 65, no. 3, pp. 1029–1073. </w:t>
      </w:r>
    </w:p>
    <w:p w:rsidR="008737DC" w:rsidRPr="008737DC" w:rsidRDefault="008737DC" w:rsidP="008737DC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en-US" w:eastAsia="ru-RU"/>
        </w:rPr>
      </w:pPr>
      <w:r w:rsidRPr="008737DC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25. </w:t>
      </w:r>
      <w:proofErr w:type="spellStart"/>
      <w:r w:rsidRPr="008737DC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>Mian</w:t>
      </w:r>
      <w:proofErr w:type="spellEnd"/>
      <w:r w:rsidRPr="008737DC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 A., Sufi A., </w:t>
      </w:r>
      <w:proofErr w:type="spellStart"/>
      <w:r w:rsidRPr="008737DC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>Trebbi</w:t>
      </w:r>
      <w:proofErr w:type="spellEnd"/>
      <w:r w:rsidRPr="008737DC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 F. (2010). The political economy of the subprime mortgage credit expansion. No. w16107. National Bureau of Economic Research. </w:t>
      </w:r>
    </w:p>
    <w:p w:rsidR="008737DC" w:rsidRPr="008737DC" w:rsidRDefault="008737DC" w:rsidP="008737DC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en-US" w:eastAsia="ru-RU"/>
        </w:rPr>
      </w:pPr>
      <w:r w:rsidRPr="008737DC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26. </w:t>
      </w:r>
      <w:proofErr w:type="spellStart"/>
      <w:r w:rsidRPr="008737DC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>Mian</w:t>
      </w:r>
      <w:proofErr w:type="spellEnd"/>
      <w:r w:rsidRPr="008737DC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 A., Sufi A., </w:t>
      </w:r>
      <w:proofErr w:type="spellStart"/>
      <w:r w:rsidRPr="008737DC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>Trebbi</w:t>
      </w:r>
      <w:proofErr w:type="spellEnd"/>
      <w:r w:rsidRPr="008737DC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 F. (2013). The Political Economy of the Subprime Mortgage Credit Ex- </w:t>
      </w:r>
      <w:proofErr w:type="spellStart"/>
      <w:r w:rsidRPr="008737DC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>pansion</w:t>
      </w:r>
      <w:proofErr w:type="spellEnd"/>
      <w:r w:rsidRPr="008737DC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, </w:t>
      </w:r>
      <w:r w:rsidRPr="008737DC">
        <w:rPr>
          <w:rFonts w:ascii="Minion3-Italic-Identity-H" w:eastAsia="Times New Roman" w:hAnsi="Minion3-Italic-Identity-H" w:cs="Times New Roman"/>
          <w:sz w:val="22"/>
          <w:szCs w:val="22"/>
          <w:lang w:val="en-US" w:eastAsia="ru-RU"/>
        </w:rPr>
        <w:t>Quarterly Journal of Political Science</w:t>
      </w:r>
      <w:r w:rsidRPr="008737DC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, vol. 8, no. 4, pp. 373–408. </w:t>
      </w:r>
    </w:p>
    <w:p w:rsidR="008737DC" w:rsidRPr="008737DC" w:rsidRDefault="008737DC" w:rsidP="008737DC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en-US" w:eastAsia="ru-RU"/>
        </w:rPr>
      </w:pPr>
      <w:r w:rsidRPr="008737DC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27. </w:t>
      </w:r>
      <w:proofErr w:type="spellStart"/>
      <w:r w:rsidRPr="008737DC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>Rajan</w:t>
      </w:r>
      <w:proofErr w:type="spellEnd"/>
      <w:r w:rsidRPr="008737DC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 R.G., </w:t>
      </w:r>
      <w:proofErr w:type="spellStart"/>
      <w:r w:rsidRPr="008737DC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>Ramcharan</w:t>
      </w:r>
      <w:proofErr w:type="spellEnd"/>
      <w:r w:rsidRPr="008737DC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 R. (2011). Constituencies and legislation: The fight over the </w:t>
      </w:r>
      <w:proofErr w:type="spellStart"/>
      <w:r w:rsidRPr="008737DC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>mcfad</w:t>
      </w:r>
      <w:proofErr w:type="spellEnd"/>
      <w:r w:rsidRPr="008737DC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- den act of 1927. No. w17266. National Bureau of Economic Research. </w:t>
      </w:r>
    </w:p>
    <w:p w:rsidR="008737DC" w:rsidRPr="008737DC" w:rsidRDefault="008737DC" w:rsidP="008737DC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en-US" w:eastAsia="ru-RU"/>
        </w:rPr>
      </w:pPr>
      <w:r w:rsidRPr="008737DC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28. Reinhart C.M., Rogoff K. (2009). This time is different: eight centuries of financial folly. Princeton university press. </w:t>
      </w:r>
    </w:p>
    <w:p w:rsidR="008737DC" w:rsidRPr="008737DC" w:rsidRDefault="008737DC" w:rsidP="008737DC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en-US" w:eastAsia="ru-RU"/>
        </w:rPr>
      </w:pPr>
      <w:r w:rsidRPr="008737DC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29. </w:t>
      </w:r>
      <w:proofErr w:type="spellStart"/>
      <w:r w:rsidRPr="008737DC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>Andaiyani</w:t>
      </w:r>
      <w:proofErr w:type="spellEnd"/>
      <w:r w:rsidRPr="008737DC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 </w:t>
      </w:r>
      <w:proofErr w:type="spellStart"/>
      <w:r w:rsidRPr="008737DC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>Hidayat</w:t>
      </w:r>
      <w:proofErr w:type="spellEnd"/>
      <w:r w:rsidRPr="008737DC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 A., </w:t>
      </w:r>
      <w:proofErr w:type="spellStart"/>
      <w:r w:rsidRPr="008737DC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>Djambak</w:t>
      </w:r>
      <w:proofErr w:type="spellEnd"/>
      <w:r w:rsidRPr="008737DC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 S., Hamidi I. (2021). Counter-Cyclical Capital Buffer and Re- </w:t>
      </w:r>
      <w:proofErr w:type="spellStart"/>
      <w:r w:rsidRPr="008737DC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>gional</w:t>
      </w:r>
      <w:proofErr w:type="spellEnd"/>
      <w:r w:rsidRPr="008737DC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 Development Bank Profitability: An </w:t>
      </w:r>
      <w:proofErr w:type="spellStart"/>
      <w:r w:rsidRPr="008737DC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>Empiri</w:t>
      </w:r>
      <w:proofErr w:type="spellEnd"/>
      <w:r w:rsidRPr="008737DC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- </w:t>
      </w:r>
      <w:proofErr w:type="spellStart"/>
      <w:r w:rsidRPr="008737DC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>cal</w:t>
      </w:r>
      <w:proofErr w:type="spellEnd"/>
      <w:r w:rsidRPr="008737DC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 Study in Indonesia, </w:t>
      </w:r>
      <w:r w:rsidRPr="008737DC">
        <w:rPr>
          <w:rFonts w:ascii="Minion3-Italic-Identity-H" w:eastAsia="Times New Roman" w:hAnsi="Minion3-Italic-Identity-H" w:cs="Times New Roman"/>
          <w:sz w:val="22"/>
          <w:szCs w:val="22"/>
          <w:lang w:val="en-US" w:eastAsia="ru-RU"/>
        </w:rPr>
        <w:t>Journal of Asian Finance Economics and Business</w:t>
      </w:r>
      <w:r w:rsidRPr="008737DC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, vol. 8, no. 5, pp. 829–837. DOI: 10.13106/jafeb.2021.vol8.no5.0829. </w:t>
      </w:r>
    </w:p>
    <w:p w:rsidR="008737DC" w:rsidRPr="008737DC" w:rsidRDefault="008737DC" w:rsidP="008737DC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en-US" w:eastAsia="ru-RU"/>
        </w:rPr>
      </w:pPr>
      <w:r w:rsidRPr="008737DC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30. </w:t>
      </w:r>
      <w:proofErr w:type="spellStart"/>
      <w:r w:rsidRPr="008737DC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>Chaikovska</w:t>
      </w:r>
      <w:proofErr w:type="spellEnd"/>
      <w:r w:rsidRPr="008737DC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 I. (2019). Implementation and Effects of The Post-Crisis Banking Regulations in European Union. In: International Scientific Conference on Economic and Social Development. Proceedings Paper. Pp. 212–220. </w:t>
      </w:r>
    </w:p>
    <w:p w:rsidR="008737DC" w:rsidRPr="008737DC" w:rsidRDefault="008737DC" w:rsidP="008737DC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en-US" w:eastAsia="ru-RU"/>
        </w:rPr>
      </w:pPr>
      <w:r w:rsidRPr="008737DC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31. Blinder A.S. (2015). Financial Entropy and the Optimality of Over-regulation. In: The New Inter- national Financial </w:t>
      </w:r>
      <w:proofErr w:type="spellStart"/>
      <w:r w:rsidRPr="008737DC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>System:Analyzing</w:t>
      </w:r>
      <w:proofErr w:type="spellEnd"/>
      <w:r w:rsidRPr="008737DC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 the Cumulative Impact of Regulatory Reform. Pp. 3–35. </w:t>
      </w:r>
    </w:p>
    <w:p w:rsidR="008737DC" w:rsidRPr="008737DC" w:rsidRDefault="008737DC" w:rsidP="008737DC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en-US" w:eastAsia="ru-RU"/>
        </w:rPr>
      </w:pPr>
      <w:r w:rsidRPr="008737DC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32. </w:t>
      </w:r>
      <w:proofErr w:type="spellStart"/>
      <w:r w:rsidRPr="008737DC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>Aizenman</w:t>
      </w:r>
      <w:proofErr w:type="spellEnd"/>
      <w:r w:rsidRPr="008737DC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 A., Glick R. (2009). Sterilization, </w:t>
      </w:r>
      <w:r w:rsidRPr="008737DC">
        <w:rPr>
          <w:rFonts w:ascii="Times New Roman" w:eastAsia="Times New Roman" w:hAnsi="Times New Roman" w:cs="Times New Roman"/>
          <w:lang w:val="en-US" w:eastAsia="ru-RU"/>
        </w:rPr>
        <w:t xml:space="preserve"> </w:t>
      </w:r>
      <w:r w:rsidRPr="008737DC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Monetary Policy, and Global Financial Integra- </w:t>
      </w:r>
      <w:proofErr w:type="spellStart"/>
      <w:r w:rsidRPr="008737DC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>tionroie</w:t>
      </w:r>
      <w:proofErr w:type="spellEnd"/>
      <w:r w:rsidRPr="008737DC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. Review of International Economics, vol. 17, no. 4, pp. 777–801. DOI: 10.1111/j.1467-9396.2009. 00848.x. </w:t>
      </w:r>
    </w:p>
    <w:p w:rsidR="008737DC" w:rsidRPr="008737DC" w:rsidRDefault="008737DC" w:rsidP="008737DC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en-US" w:eastAsia="ru-RU"/>
        </w:rPr>
      </w:pPr>
      <w:r w:rsidRPr="008737DC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33.RALawontheCentralBank. </w:t>
      </w:r>
    </w:p>
    <w:p w:rsidR="008737DC" w:rsidRPr="008737DC" w:rsidRDefault="008737DC" w:rsidP="008737DC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en-US" w:eastAsia="ru-RU"/>
        </w:rPr>
      </w:pPr>
      <w:r w:rsidRPr="008737DC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lastRenderedPageBreak/>
        <w:t xml:space="preserve">34. Regulation 2 on “Regulation of banking, </w:t>
      </w:r>
      <w:proofErr w:type="spellStart"/>
      <w:r w:rsidRPr="008737DC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>pru</w:t>
      </w:r>
      <w:proofErr w:type="spellEnd"/>
      <w:r w:rsidRPr="008737DC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- </w:t>
      </w:r>
      <w:proofErr w:type="spellStart"/>
      <w:r w:rsidRPr="008737DC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>dential</w:t>
      </w:r>
      <w:proofErr w:type="spellEnd"/>
      <w:r w:rsidRPr="008737DC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 standards for banking”, Central Bank of Ar</w:t>
      </w:r>
      <w:bookmarkStart w:id="0" w:name="_GoBack"/>
      <w:bookmarkEnd w:id="0"/>
      <w:r w:rsidRPr="008737DC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menia. </w:t>
      </w:r>
    </w:p>
    <w:p w:rsidR="00D20565" w:rsidRPr="00D20565" w:rsidRDefault="00D20565" w:rsidP="00D20565">
      <w:pPr>
        <w:pStyle w:val="a3"/>
        <w:rPr>
          <w:lang w:val="en-US"/>
        </w:rPr>
      </w:pPr>
    </w:p>
    <w:p w:rsidR="00DA45C1" w:rsidRPr="00D20565" w:rsidRDefault="008737DC">
      <w:pPr>
        <w:rPr>
          <w:lang w:val="en-US"/>
        </w:rPr>
      </w:pPr>
    </w:p>
    <w:sectPr w:rsidR="00DA45C1" w:rsidRPr="00D20565" w:rsidSect="00520FDA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FuturaNewDemi-Reg-Identity-H">
    <w:altName w:val="Century Gothic"/>
    <w:panose1 w:val="020B0604020202020204"/>
    <w:charset w:val="00"/>
    <w:family w:val="roman"/>
    <w:notTrueType/>
    <w:pitch w:val="default"/>
  </w:font>
  <w:font w:name="Minion3-Regular-Identity-H">
    <w:altName w:val="Cambria"/>
    <w:panose1 w:val="020B0604020202020204"/>
    <w:charset w:val="00"/>
    <w:family w:val="roman"/>
    <w:notTrueType/>
    <w:pitch w:val="default"/>
  </w:font>
  <w:font w:name="Minion3-Italic-Identity-H">
    <w:altName w:val="Cambria"/>
    <w:panose1 w:val="020B0604020202020204"/>
    <w:charset w:val="00"/>
    <w:family w:val="roman"/>
    <w:notTrueType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1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A8D"/>
    <w:rsid w:val="00017B57"/>
    <w:rsid w:val="000706E4"/>
    <w:rsid w:val="00077F28"/>
    <w:rsid w:val="00275775"/>
    <w:rsid w:val="002D2A8D"/>
    <w:rsid w:val="00422AC7"/>
    <w:rsid w:val="00520FDA"/>
    <w:rsid w:val="005A30F3"/>
    <w:rsid w:val="008737DC"/>
    <w:rsid w:val="00A63ADC"/>
    <w:rsid w:val="00B20582"/>
    <w:rsid w:val="00B425C7"/>
    <w:rsid w:val="00D20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0393C"/>
  <w15:chartTrackingRefBased/>
  <w15:docId w15:val="{B5978592-A001-F846-B617-AF4085107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D2A8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864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94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229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777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508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854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68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596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7134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954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435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625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14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59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918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623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267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89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565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233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838</Words>
  <Characters>5118</Characters>
  <Application>Microsoft Office Word</Application>
  <DocSecurity>0</DocSecurity>
  <Lines>142</Lines>
  <Paragraphs>81</Paragraphs>
  <ScaleCrop>false</ScaleCrop>
  <Company/>
  <LinksUpToDate>false</LinksUpToDate>
  <CharactersWithSpaces>5875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2025-07-26T12:20:00Z</dcterms:created>
  <dcterms:modified xsi:type="dcterms:W3CDTF">2025-07-26T12:24:00Z</dcterms:modified>
</cp:coreProperties>
</file>