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8D" w:rsidRPr="00D20565" w:rsidRDefault="002D2A8D" w:rsidP="002D2A8D">
      <w:pPr>
        <w:pStyle w:val="a3"/>
        <w:rPr>
          <w:lang w:val="en-US"/>
        </w:rPr>
      </w:pPr>
      <w:r w:rsidRPr="00D20565">
        <w:rPr>
          <w:rFonts w:ascii="FuturaNewDemi-Reg-Identity-H" w:hAnsi="FuturaNewDemi-Reg-Identity-H"/>
          <w:sz w:val="22"/>
          <w:szCs w:val="22"/>
          <w:lang w:val="en-US"/>
        </w:rPr>
        <w:t xml:space="preserve">REFERENCES </w:t>
      </w:r>
    </w:p>
    <w:p w:rsidR="00D20565" w:rsidRPr="00D20565" w:rsidRDefault="00D20565" w:rsidP="00D20565">
      <w:pPr>
        <w:pStyle w:val="a3"/>
        <w:rPr>
          <w:lang w:val="en-US"/>
        </w:rPr>
      </w:pP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1. Fischer, S. (1977). Long-Term Contracts, Rational Expectations, and the Optimal Money Supply Rule. JPE 85, pp. 191–205. </w:t>
      </w:r>
    </w:p>
    <w:p w:rsidR="00D20565" w:rsidRPr="00D20565" w:rsidRDefault="00D20565" w:rsidP="00D20565">
      <w:pPr>
        <w:pStyle w:val="a3"/>
        <w:rPr>
          <w:lang w:val="en-US"/>
        </w:rPr>
      </w:pP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2.Phelps, E.S., Taylor, J.B. (1977).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Stabilising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Powers of Monetary Policy under Rational Expectations. JPE 85, pp. 163–90. </w:t>
      </w:r>
    </w:p>
    <w:p w:rsidR="00D20565" w:rsidRPr="00D20565" w:rsidRDefault="00D20565" w:rsidP="00D20565">
      <w:pPr>
        <w:pStyle w:val="a3"/>
        <w:rPr>
          <w:lang w:val="en-US"/>
        </w:rPr>
      </w:pP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3. Frankel, J. (2010). Monetary policy in emerging markets, </w:t>
      </w:r>
      <w:r w:rsidRPr="00D20565">
        <w:rPr>
          <w:rFonts w:ascii="Minion3-Italic-Identity-H" w:hAnsi="Minion3-Italic-Identity-H"/>
          <w:sz w:val="22"/>
          <w:szCs w:val="22"/>
          <w:lang w:val="en-US"/>
        </w:rPr>
        <w:t>Handbook of Monetary Economics</w:t>
      </w: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, vol. 3. Elsevier. Pp. 1439–1520. </w:t>
      </w:r>
    </w:p>
    <w:p w:rsidR="00D20565" w:rsidRPr="00D20565" w:rsidRDefault="00D20565" w:rsidP="00D20565">
      <w:pPr>
        <w:pStyle w:val="a3"/>
        <w:rPr>
          <w:lang w:val="en-US"/>
        </w:rPr>
      </w:pP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4.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Corsetti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G.,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Dedola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L., Sylvain L. (2010). Optimal monetary policy in open economies, </w:t>
      </w:r>
      <w:r w:rsidRPr="00D20565">
        <w:rPr>
          <w:rFonts w:ascii="Minion3-Italic-Identity-H" w:hAnsi="Minion3-Italic-Identity-H"/>
          <w:sz w:val="22"/>
          <w:szCs w:val="22"/>
          <w:lang w:val="en-US"/>
        </w:rPr>
        <w:t>Handbook of Monetary Economics</w:t>
      </w: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, vol. 3. Elsevier. Pp. 861–933. </w:t>
      </w:r>
    </w:p>
    <w:p w:rsidR="00D20565" w:rsidRPr="00D20565" w:rsidRDefault="00D20565" w:rsidP="00D20565">
      <w:pPr>
        <w:pStyle w:val="a3"/>
        <w:rPr>
          <w:lang w:val="en-US"/>
        </w:rPr>
      </w:pP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5. Pain N., Lewis C., Dang T.,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Jin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Y., Richardson P. (2014). OECD forecasts during and after the financial crisis: A post mortem. OECD Economics Department Working Paper. No. 1077. </w:t>
      </w:r>
    </w:p>
    <w:p w:rsidR="008737DC" w:rsidRPr="008737DC" w:rsidRDefault="00D20565" w:rsidP="008737DC">
      <w:pPr>
        <w:pStyle w:val="a3"/>
        <w:rPr>
          <w:lang w:val="en-US"/>
        </w:rPr>
      </w:pPr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6.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Bouis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R.,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Rawdanowicz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L., </w:t>
      </w:r>
      <w:proofErr w:type="spellStart"/>
      <w:r w:rsidRPr="00D20565">
        <w:rPr>
          <w:rFonts w:ascii="Minion3-Regular-Identity-H" w:hAnsi="Minion3-Regular-Identity-H"/>
          <w:sz w:val="22"/>
          <w:szCs w:val="22"/>
          <w:lang w:val="en-US"/>
        </w:rPr>
        <w:t>Renne</w:t>
      </w:r>
      <w:proofErr w:type="spellEnd"/>
      <w:r w:rsidRPr="00D20565">
        <w:rPr>
          <w:rFonts w:ascii="Minion3-Regular-Identity-H" w:hAnsi="Minion3-Regular-Identity-H"/>
          <w:sz w:val="22"/>
          <w:szCs w:val="22"/>
          <w:lang w:val="en-US"/>
        </w:rPr>
        <w:t xml:space="preserve"> J.-P., Watanabe S., Christensen A.K. (2013). The effectiveness of monetary policy since the onset of the financial cri </w:t>
      </w:r>
      <w:r w:rsidR="008737DC" w:rsidRPr="008737DC">
        <w:rPr>
          <w:rFonts w:ascii="Minion3-Regular-Identity-H" w:hAnsi="Minion3-Regular-Identity-H"/>
          <w:sz w:val="22"/>
          <w:szCs w:val="22"/>
          <w:lang w:val="en-US"/>
        </w:rPr>
        <w:t xml:space="preserve">sis. OECD Economics Department Working Paper. No. 1081.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7. Rubio M. (2020). Monetary policy, credit markets, and banks: A DSGE perspective,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Economics Let- </w:t>
      </w:r>
      <w:proofErr w:type="spellStart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ters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195, no. 109481. DOI: 10.1016/j.econlet.20 20.109481.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8.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Rajan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R.G. (2005). Has financial development made the world riskier? Proceedings – Economic Policy Symposium – Jackson Hole. Federal Reserve Bank of Kansas City. August. Pp. 313–369.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9.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Altunbasa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Y.,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Gambacorta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L., Marques- Ibanez D. (2014). Does monetary policy affect bank risk?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International Journal of Central Banking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March. Pp. 95–135.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10.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Jiménez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Ongena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Peydro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́ J.-L.,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Saurina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J. (2014). Hazardous times for monetary policy: What do twenty-three million bank loans say about the effects of monetary policy on credit risk-taking? </w:t>
      </w:r>
      <w:proofErr w:type="spellStart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Econometrica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82, no. 2, pp. 463–505.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11.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Filiani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P. (2021). Optimal monetary-fiscal policy in the euro area liquidity crisis,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Macroeconomics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70, no. 103364. DOI: 10.101 6/j.jmacro.2021.103364.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12.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Andries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A.M.,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Plescau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I. (2020). The Risk- Taking Channel of Monetary Policy: Do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Macropru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dential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Regulation and Central Bank Independence Influence the Transmission of Interest Rates?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Roma- </w:t>
      </w:r>
      <w:proofErr w:type="spellStart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nian</w:t>
      </w:r>
      <w:proofErr w:type="spellEnd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Journal </w:t>
      </w:r>
      <w:r w:rsidRPr="008737DC">
        <w:rPr>
          <w:rFonts w:ascii="Tahoma" w:eastAsia="Times New Roman" w:hAnsi="Tahoma" w:cs="Tahoma"/>
          <w:sz w:val="22"/>
          <w:szCs w:val="22"/>
          <w:lang w:eastAsia="ru-RU"/>
        </w:rPr>
        <w:t>օ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f Economic Forecasting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23, no. 3, pp. 5–30.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13. Nawaz M., Mazhar Iqbal M., Ali A. (2018). Institutional Quality and Cyclicality of Monetary and Fiscal Policies in SAARC Countries,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Transylvanian Review of Administrative Sciences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55E, pp. 32– 44. DOI: 10.24193/tras.55E.3.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14.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Aliaga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-Diaz R., Olivero M.P., Powell A. (2018). Monetary Policy and Anti-Cyclical Bank Capital Regulation,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Economic Inquiry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56, no. 2, pp. 837– 858. DOI: 10.1111/ecin.12501.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15.Azariadis C., Bullard J., Singh A.,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Suda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J. (2019). Incomplete credit markets and monetary policy.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Economic Dynamics &amp; Control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103, pp. 83–101. DOI: 10.1016/j.jedc.2019.03 .005.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16. Medina J.P.,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Roldos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J. (2018). Monetary and Macroprudential Policies to Manage Capital Flows,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International Journal of Central Banking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14, no. 1, pp. 201–257.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lastRenderedPageBreak/>
        <w:t xml:space="preserve">17. Frankel J.A. (2011). Monetary policy in emerging markets. In: Freidman B., Woodford M. (eds.). Handbook of Monetary Economics, vol. 3B. North Holland, Amsterdam. Pp. 1439–1520.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18.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McGettingham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D., Moriyama K.,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Ntsama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J.N.N.,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Painchard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F., Qu H., Steinberg C. (2013). Monetary policy in emerging markets: taming the cycle. IMF Working Paper 13/96.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19.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Vegh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C.A.,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Vuletin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G. (2013) Overcoming the fear of free falling: monetary policy graduation in emerging markets. NBER Working Paper 18175.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20. Stigler G. (1971). The Theory of Economic Regulation,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The Bell Journal of Economics and Man- </w:t>
      </w:r>
      <w:proofErr w:type="spellStart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agement</w:t>
      </w:r>
      <w:proofErr w:type="spellEnd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Science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2, no. 1, pp. 3–21.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21.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Calomiris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C.W., Haber S.H. (2014). Fragile by design. The political origin of banking crises and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scarse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credit. In: Joel Mokyr (ed.). The Princeton Economic History of the Western World.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22. Posner E.A. (1997). The political economy of the Bankruptcy Reform Act of 1978,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Michigan Law Review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96, no. 1, pp. 47–126.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23.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Kroszner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R., Strahan P. (1999). What Drives Deregulation? Economics and Politics of the Relax-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ation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of Bank Branching Restriction,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Quarterly Jour- </w:t>
      </w:r>
      <w:proofErr w:type="spellStart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nal</w:t>
      </w:r>
      <w:proofErr w:type="spellEnd"/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 xml:space="preserve"> of Economics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114, no. 4, pp. 1437–1467.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24.Benmelech E., and Moskowitz T.J. (2010). The political economy of financial regulation: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evi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dence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from US state usury laws in the 19th century,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The journal of finance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65, no. 3, pp. 1029–1073.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25.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Mian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A., Sufi A.,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Trebbi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F. (2010). The political economy of the subprime mortgage credit expansion. No. w16107. National Bureau of Economic Research.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26.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Mian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A., Sufi A.,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Trebbi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F. (2013). The Political Economy of the Subprime Mortgage Credit Ex-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pansion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Quarterly Journal of Political Science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8, no. 4, pp. 373–408.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27.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Rajan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R.G.,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Ramcharan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R. (2011). Constituencies and legislation: The fight over the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mcfad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den act of 1927. No. w17266. National Bureau of Economic Research.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28. Reinhart C.M., Rogoff K. (2009). This time is different: eight centuries of financial folly. Princeton university press.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29.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Andaiyani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Hidayat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Djambak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S., Hamidi I. (2021). Counter-Cyclical Capital Buffer and Re-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gional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Development Bank Profitability: An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Empiri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cal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Study in Indonesia, </w:t>
      </w:r>
      <w:r w:rsidRPr="008737DC">
        <w:rPr>
          <w:rFonts w:ascii="Minion3-Italic-Identity-H" w:eastAsia="Times New Roman" w:hAnsi="Minion3-Italic-Identity-H" w:cs="Times New Roman"/>
          <w:sz w:val="22"/>
          <w:szCs w:val="22"/>
          <w:lang w:val="en-US" w:eastAsia="ru-RU"/>
        </w:rPr>
        <w:t>Journal of Asian Finance Economics and Business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, vol. 8, no. 5, pp. 829–837. DOI: 10.13106/jafeb.2021.vol8.no5.0829.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30.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Chaikovska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I. (2019). Implementation and Effects of The Post-Crisis Banking Regulations in European Union. In: International Scientific Conference on Economic and Social Development. Proceedings Paper. Pp. 212–220.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31. Blinder A.S. (2015). Financial Entropy and the Optimality of Over-regulation. In: The New Inter- national Financial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System:Analyzing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the Cumulative Impact of Regulatory Reform. Pp. 3–35.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32.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Aizenman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A., Glick R. (2009). Sterilization, </w:t>
      </w:r>
      <w:r w:rsidRPr="008737DC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Monetary Policy, and Global Financial Integra-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tionroie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. Review of International Economics, vol. 17, no. 4, pp. 777–801. DOI: 10.1111/j.1467-9396.2009. 00848.x.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33.RALawontheCentralBank. </w:t>
      </w:r>
    </w:p>
    <w:p w:rsidR="008737DC" w:rsidRPr="008737DC" w:rsidRDefault="008737DC" w:rsidP="008737D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ru-RU"/>
        </w:rPr>
      </w:pPr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lastRenderedPageBreak/>
        <w:t xml:space="preserve">34. Regulation 2 on “Regulation of banking,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pru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- </w:t>
      </w:r>
      <w:proofErr w:type="spellStart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>dential</w:t>
      </w:r>
      <w:proofErr w:type="spellEnd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 standards for banking”, Central Bank of Ar</w:t>
      </w:r>
      <w:bookmarkStart w:id="0" w:name="_GoBack"/>
      <w:bookmarkEnd w:id="0"/>
      <w:r w:rsidRPr="008737DC">
        <w:rPr>
          <w:rFonts w:ascii="Minion3-Regular-Identity-H" w:eastAsia="Times New Roman" w:hAnsi="Minion3-Regular-Identity-H" w:cs="Times New Roman"/>
          <w:sz w:val="22"/>
          <w:szCs w:val="22"/>
          <w:lang w:val="en-US" w:eastAsia="ru-RU"/>
        </w:rPr>
        <w:t xml:space="preserve">menia. </w:t>
      </w:r>
    </w:p>
    <w:p w:rsidR="00D20565" w:rsidRPr="00D20565" w:rsidRDefault="00D20565" w:rsidP="00D20565">
      <w:pPr>
        <w:pStyle w:val="a3"/>
        <w:rPr>
          <w:lang w:val="en-US"/>
        </w:rPr>
      </w:pPr>
    </w:p>
    <w:p w:rsidR="00DA45C1" w:rsidRPr="00D20565" w:rsidRDefault="008737DC">
      <w:pPr>
        <w:rPr>
          <w:lang w:val="en-US"/>
        </w:rPr>
      </w:pPr>
    </w:p>
    <w:sectPr w:rsidR="00DA45C1" w:rsidRPr="00D20565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NewDemi-Reg-Identity-H">
    <w:altName w:val="Century Gothic"/>
    <w:panose1 w:val="020B0604020202020204"/>
    <w:charset w:val="00"/>
    <w:family w:val="roman"/>
    <w:notTrueType/>
    <w:pitch w:val="default"/>
  </w:font>
  <w:font w:name="Minion3-Regular-Identity-H">
    <w:altName w:val="Cambria"/>
    <w:panose1 w:val="020B0604020202020204"/>
    <w:charset w:val="00"/>
    <w:family w:val="roman"/>
    <w:notTrueType/>
    <w:pitch w:val="default"/>
  </w:font>
  <w:font w:name="Minion3-Italic-Identity-H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8D"/>
    <w:rsid w:val="00017B57"/>
    <w:rsid w:val="000706E4"/>
    <w:rsid w:val="00077F28"/>
    <w:rsid w:val="00275775"/>
    <w:rsid w:val="002D2A8D"/>
    <w:rsid w:val="00422AC7"/>
    <w:rsid w:val="00520FDA"/>
    <w:rsid w:val="005A30F3"/>
    <w:rsid w:val="008737DC"/>
    <w:rsid w:val="00A63ADC"/>
    <w:rsid w:val="00B20582"/>
    <w:rsid w:val="00B425C7"/>
    <w:rsid w:val="00D2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393C"/>
  <w15:chartTrackingRefBased/>
  <w15:docId w15:val="{B5978592-A001-F846-B617-AF408510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A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0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5118</Characters>
  <Application>Microsoft Office Word</Application>
  <DocSecurity>0</DocSecurity>
  <Lines>142</Lines>
  <Paragraphs>81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2025-07-26T12:20:00Z</dcterms:created>
  <dcterms:modified xsi:type="dcterms:W3CDTF">2025-07-26T12:24:00Z</dcterms:modified>
</cp:coreProperties>
</file>