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REFERENCES</w:t>
      </w:r>
    </w:p>
    <w:p w:rsidR="00381EF1" w:rsidRPr="00381EF1" w:rsidRDefault="00381EF1" w:rsidP="00381EF1">
      <w:pPr>
        <w:rPr>
          <w:lang w:val="en-US"/>
        </w:rPr>
      </w:pP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1.</w:t>
      </w:r>
      <w:r w:rsidRPr="00381EF1">
        <w:rPr>
          <w:lang w:val="en-US"/>
        </w:rPr>
        <w:tab/>
        <w:t xml:space="preserve">Almond G., Verba S. (1992). Civil Culture and Democracy Stability, Polis. Political research, no. 4. URL: http://www.civisbook.ru/files/file/1992-4- almond_verba.pdf (accessed 25.02.2021). 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2.</w:t>
      </w:r>
      <w:r w:rsidRPr="00381EF1">
        <w:rPr>
          <w:lang w:val="en-US"/>
        </w:rPr>
        <w:tab/>
        <w:t>Bankovskaya S. (2012). FAQ: Sociology of marginalness, Postnomuka. 11.09.2012. URL: https://postnauka.ru/faq/4124 (accessed 25.02.2021).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3.</w:t>
      </w:r>
      <w:r w:rsidRPr="00381EF1">
        <w:rPr>
          <w:lang w:val="en-US"/>
        </w:rPr>
        <w:tab/>
        <w:t>Vafin A.M. (2017). Political marginality: psychology and ideology, Azimut of scientific research: Economics and management, vol. 6, no. 4 (21),</w:t>
      </w:r>
      <w:r>
        <w:t xml:space="preserve"> </w:t>
      </w:r>
      <w:bookmarkStart w:id="0" w:name="_GoBack"/>
      <w:bookmarkEnd w:id="0"/>
      <w:r w:rsidRPr="00381EF1">
        <w:rPr>
          <w:lang w:val="en-US"/>
        </w:rPr>
        <w:t>pp. 307–310.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4.</w:t>
      </w:r>
      <w:r w:rsidRPr="00381EF1">
        <w:rPr>
          <w:lang w:val="en-US"/>
        </w:rPr>
        <w:tab/>
        <w:t>Vafin A.M. (2013). Phenomenon of political marginalness: theoretical and empirical aspects. Ph. D. thesis. Moscow. 131 p.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5.</w:t>
      </w:r>
      <w:r w:rsidRPr="00381EF1">
        <w:rPr>
          <w:lang w:val="en-US"/>
        </w:rPr>
        <w:tab/>
        <w:t>Garshin N.A. (2018). The problem of political marginalness in the context of the deformation of tolerance, Philosophical thought, no. 11, pp. 78–83. DOI: 10.25136/2409-8728.2018.11.27014.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6.</w:t>
      </w:r>
      <w:r w:rsidRPr="00381EF1">
        <w:rPr>
          <w:lang w:val="en-US"/>
        </w:rPr>
        <w:tab/>
        <w:t>Grigoreva K.V. (2007). Interlessnual games in normal form. St. Petersburg, Petersburg State Uni- versity of Architecture and Construction. 78 p.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7.</w:t>
      </w:r>
      <w:r w:rsidRPr="00381EF1">
        <w:rPr>
          <w:lang w:val="en-US"/>
        </w:rPr>
        <w:tab/>
        <w:t>Gurin S.P. (2004). Marginal anthropology, An- thropology.ru. 04.06.2004. URL: http://anthropolo gy.ru/ru/text/gurin-sp/marginalnaya-antropologiya (accessed 01.03.2021).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8.</w:t>
      </w:r>
      <w:r w:rsidRPr="00381EF1">
        <w:rPr>
          <w:lang w:val="en-US"/>
        </w:rPr>
        <w:tab/>
        <w:t>Dvorkin R. (2004). On the rights seriously. Moscow, ROSSPEN. 392 p. URL: https://platona.net/load/knigi_po_filosofii/ehtika_i_ehstetika/dvorkin_r_o_pravakh_vserez_2004/36- 1- 0- 2230 (accessed 02.24.2021).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9.</w:t>
      </w:r>
      <w:r w:rsidRPr="00381EF1">
        <w:rPr>
          <w:lang w:val="en-US"/>
        </w:rPr>
        <w:tab/>
        <w:t>Dzyaloshinsky I.M. (2019). Mediakarnival in the era of globalization, Mediaalmans, no. 3 (92), pp. 18–28. DOI: 10.30547/mediaalmanah.3.2019.1828.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10.</w:t>
      </w:r>
      <w:r w:rsidRPr="00381EF1">
        <w:rPr>
          <w:lang w:val="en-US"/>
        </w:rPr>
        <w:tab/>
        <w:t>Code of Administrative Offenses of the Rus- sian Federation (Administrative Code of the Russian Federation). URL: http://base.garant.ru/12125267/ (accessed 14.03.2021).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11.</w:t>
      </w:r>
      <w:r w:rsidRPr="00381EF1">
        <w:rPr>
          <w:lang w:val="en-US"/>
        </w:rPr>
        <w:tab/>
        <w:t>Kremlev A.G. (2016). The main concepts of the theory of games. Ekaterinburg, Publishing House of the Ural University. 144 p.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12.</w:t>
      </w:r>
      <w:r w:rsidRPr="00381EF1">
        <w:rPr>
          <w:lang w:val="en-US"/>
        </w:rPr>
        <w:tab/>
        <w:t>Kukarnikov D.G., Garshin N.A. (2019). Postideology and risk society: system analysis of concepts, Bulletin of the Voronezh State University. Series: Philosophy, no. 2 (32), pp. 24–32.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13.</w:t>
      </w:r>
      <w:r w:rsidRPr="00381EF1">
        <w:rPr>
          <w:lang w:val="en-US"/>
        </w:rPr>
        <w:tab/>
        <w:t>Omelchenko E.L. (2019). Is the Russian case of transformation of youth cultural practices unique? Monitoring public opinion: Economic and social changes, no. 1, pp. 3–27. DOI: 10.14515/monitor ing.2019.1.01.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14.</w:t>
      </w:r>
      <w:r w:rsidRPr="00381EF1">
        <w:rPr>
          <w:lang w:val="en-US"/>
        </w:rPr>
        <w:tab/>
        <w:t>“Policy Delivery” and populism. Skiffia Print, 2018. 216 p.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15.</w:t>
      </w:r>
      <w:r w:rsidRPr="00381EF1">
        <w:rPr>
          <w:lang w:val="en-US"/>
        </w:rPr>
        <w:tab/>
        <w:t>Razinov Yu.A. (2020). State of postmarginal- ity, International Cultural Research Journal, no. 1, pp. 6–21. DOI: 10.24411/2079-1100-2020-00001.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16.</w:t>
      </w:r>
      <w:r w:rsidRPr="00381EF1">
        <w:rPr>
          <w:lang w:val="en-US"/>
        </w:rPr>
        <w:tab/>
        <w:t>Reingold G. (2006). Smart crowd: a new social revolution. Moscow, Fairpress. 416 p.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>17.</w:t>
      </w:r>
      <w:r w:rsidRPr="00381EF1">
        <w:rPr>
          <w:lang w:val="en-US"/>
        </w:rPr>
        <w:tab/>
        <w:t>Semicheva A.S. (2015). The formation and essence of the general theory of national security of the Russian Federation, Bulletin of Witte Moscow University. Series 2: Law sciences, no. 1 (6), pp. 3–7.</w:t>
      </w:r>
    </w:p>
    <w:p w:rsidR="00381EF1" w:rsidRPr="00381EF1" w:rsidRDefault="00381EF1" w:rsidP="00381EF1">
      <w:pPr>
        <w:rPr>
          <w:lang w:val="en-US"/>
        </w:rPr>
      </w:pPr>
      <w:r w:rsidRPr="00381EF1">
        <w:rPr>
          <w:lang w:val="en-US"/>
        </w:rPr>
        <w:t xml:space="preserve"> 18.</w:t>
      </w:r>
      <w:r w:rsidRPr="00381EF1">
        <w:rPr>
          <w:lang w:val="en-US"/>
        </w:rPr>
        <w:tab/>
        <w:t>On amendments to the Federal Law “On in- formation, information technology and on protec- tion of information” and individual legislative acts of the Russian Federation on the streamlining of in- formation exchange using information and telecom- munication networks. Federal Law no. 97-FZ dated May 5, 2014. URL: http://base.garant.ru/70648932/(accessed 14.03.2021).</w:t>
      </w:r>
    </w:p>
    <w:p w:rsidR="00381EF1" w:rsidRDefault="00381EF1" w:rsidP="00381EF1">
      <w:r w:rsidRPr="00381EF1">
        <w:rPr>
          <w:lang w:val="en-US"/>
        </w:rPr>
        <w:t>19.</w:t>
      </w:r>
      <w:r w:rsidRPr="00381EF1">
        <w:rPr>
          <w:lang w:val="en-US"/>
        </w:rPr>
        <w:tab/>
        <w:t xml:space="preserve">On amendments to selected legislative acts of the Russian Federation. </w:t>
      </w:r>
      <w:r>
        <w:t>Federal Law no. 43-FZ dated March 9, 2021. URL: http://www.garant.ru/hotl aw/federal/1449687/#ixzz6qq2hmna4 (accessed 14.03.2021).</w:t>
      </w:r>
    </w:p>
    <w:p w:rsidR="00381EF1" w:rsidRDefault="00381EF1" w:rsidP="00381EF1">
      <w:r>
        <w:lastRenderedPageBreak/>
        <w:t>20.</w:t>
      </w:r>
      <w:r>
        <w:tab/>
        <w:t>On amendments to the Administrative Code of the Russian Federation. Federal Law no. 37-FZ dated MarchZ9, 2021. URL: http://www.garant.r u/hotlaw/federal/1449688/#ixzz6qQ3AFRFw (ac- cessed 14.03.2021).</w:t>
      </w:r>
    </w:p>
    <w:p w:rsidR="00381EF1" w:rsidRDefault="00381EF1" w:rsidP="00381EF1">
      <w:r>
        <w:t>21.</w:t>
      </w:r>
      <w:r>
        <w:tab/>
        <w:t>On the main guarantees of electoral rights and the rights to participate in the referendum of citi- zens of the Russian Federation. Federal Law no. 67- FZ dated June 12, 2002 (with changes and additions). URL: http://base.garant.ru/184566/#ixzz6qQ3fqN RK (accessed 14.03.2021).</w:t>
      </w:r>
    </w:p>
    <w:p w:rsidR="00381EF1" w:rsidRDefault="00381EF1" w:rsidP="00381EF1">
      <w:r>
        <w:t>22.</w:t>
      </w:r>
      <w:r>
        <w:tab/>
        <w:t>On information, information technologies and information protection. Federal Law no. 149- FZ dated July 27, 2006 (with changes and additions). URL: http://base.garant.ru/12148555/#ixzz6qQ47 hpuQ (accessed 14.03.2021).</w:t>
      </w:r>
    </w:p>
    <w:p w:rsidR="00381EF1" w:rsidRDefault="00381EF1" w:rsidP="00381EF1">
      <w:r>
        <w:t>23.</w:t>
      </w:r>
      <w:r>
        <w:tab/>
        <w:t>Shomova S.A. (2012). Carnival roots of the meeting: genesis and modern manifestations, Public service, no. 4 (78), pp. 64–68.</w:t>
      </w:r>
    </w:p>
    <w:p w:rsidR="00381EF1" w:rsidRDefault="00381EF1" w:rsidP="00381EF1">
      <w:r>
        <w:t>24.</w:t>
      </w:r>
      <w:r>
        <w:tab/>
        <w:t>Shomova S.A. (2019). Election of the Pres- ident of the Russian Federation–2018 in the mir- ror of memes: new realities of political communi- cate, Polis. Political research, no. 3, pp. 157–173. DOI: 10.17976/jpps/2019.03.10.</w:t>
      </w:r>
    </w:p>
    <w:p w:rsidR="00381EF1" w:rsidRDefault="00381EF1" w:rsidP="00381EF1">
      <w:r>
        <w:t>25.</w:t>
      </w:r>
      <w:r>
        <w:tab/>
        <w:t>Shpak L.L., Golovatsky E.V. (2015). Marginal political consciousness and behavior: The problem of sociological analysis, Bulletin of the Kemerovo State University, no. 2 (62), vol. 2, pp. 105–110.</w:t>
      </w:r>
    </w:p>
    <w:p w:rsidR="00381EF1" w:rsidRDefault="00381EF1" w:rsidP="00381EF1">
      <w:r>
        <w:t>26.</w:t>
      </w:r>
      <w:r>
        <w:tab/>
        <w:t>Blinova O., Gorbunova Yu., Porozov R., Obo- lenskaya A. (2019). Digital political practices of Rus- sian youth: YouTube top bloggers. In: Proceedings of the 1st International Scientific Practical Conference</w:t>
      </w:r>
    </w:p>
    <w:p w:rsidR="00381EF1" w:rsidRDefault="00381EF1" w:rsidP="00381EF1">
      <w:r w:rsidRPr="00381EF1">
        <w:rPr>
          <w:lang w:val="en-US"/>
        </w:rPr>
        <w:t xml:space="preserve">«The Individual and Society in the Modern Geopolitical Environment» (ISMGE–2019). </w:t>
      </w:r>
      <w:r>
        <w:t>Vol. 331. URL: https://doi.org/10.2991/ismge-19.2019.19 (accessed 20.02.2021).</w:t>
      </w:r>
    </w:p>
    <w:p w:rsidR="00381EF1" w:rsidRDefault="00381EF1" w:rsidP="00381EF1">
      <w:r>
        <w:t>27.</w:t>
      </w:r>
      <w:r>
        <w:tab/>
        <w:t>Blinova O., Gorbunova Yu., Value founda- tions of marginal political practices of youth // SHS Web of Conf. Vol. 94. 2021. Sustainable Development of Regions 2020 – XVI International Scientific and Practical Conference «State. Politics. Society». URL: https://doi.org/10.1051/shsconf/20219403017 (ac- cessed 20.02.2021).</w:t>
      </w:r>
    </w:p>
    <w:p w:rsidR="00381EF1" w:rsidRDefault="00381EF1" w:rsidP="00381EF1">
      <w:r>
        <w:t>28.</w:t>
      </w:r>
      <w:r>
        <w:tab/>
        <w:t>Green L., Brady D. Young people online. In Hartley, Burgess, and Bruns, eds. A Companion to New Media Dynamics. Chichester, England: Wiley- Blackwell. 2013. pp. 461-471. URL: https://onlineli brary.wiley.com/doi/abs/10.1002/9781118321607. ch33 (accessed 20.02.2021).</w:t>
      </w:r>
    </w:p>
    <w:p w:rsidR="00381EF1" w:rsidRDefault="00381EF1" w:rsidP="00381EF1">
      <w:r>
        <w:t>29.</w:t>
      </w:r>
      <w:r>
        <w:tab/>
        <w:t>Jenkins H., Shresthova S., Gamber-Thomp- son L., Kligler-Vilenchik N., Zimmerman A. (2016). By Any Media Necessary: The New Youth Activism. New York: New York University Press. 352 p.</w:t>
      </w:r>
    </w:p>
    <w:p w:rsidR="00381EF1" w:rsidRDefault="00381EF1" w:rsidP="00381EF1">
      <w:r>
        <w:t xml:space="preserve"> 30.</w:t>
      </w:r>
      <w:r>
        <w:tab/>
        <w:t>Kahne J., Middaugh E., Allen D. Youth. (2014). New Media, and the Rise of Participatory Politics, YPP Research Network Working Paper, no. 1, March 2014. URL: http://ypp.dmlcentral.net/sites/default/files/publications/YPP_WorkinPapers_P aper01.p (accessed 21.02.2021).</w:t>
      </w:r>
    </w:p>
    <w:p w:rsidR="00381EF1" w:rsidRDefault="00381EF1" w:rsidP="00381EF1">
      <w:r>
        <w:t>31.</w:t>
      </w:r>
      <w:r>
        <w:tab/>
        <w:t>Mitchell J. (1995). City of bits space, place, and the infobahn. 232 p.</w:t>
      </w:r>
    </w:p>
    <w:p w:rsidR="00DA45C1" w:rsidRDefault="00381EF1" w:rsidP="00381EF1">
      <w:r>
        <w:t>32.</w:t>
      </w:r>
      <w:r>
        <w:tab/>
        <w:t>Soep E. (2014). Participatory politics: Next- generation tactics to remake public spheres. URL: ht tps://ypp.dmlcentral.net/sites/default/files/publica tions/Participatory_Politics_Next_Generation.pdf  ( дата обращения: 21.02.2021).</w:t>
      </w:r>
    </w:p>
    <w:sectPr w:rsidR="00DA45C1" w:rsidSect="00520F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F1"/>
    <w:rsid w:val="00017B57"/>
    <w:rsid w:val="000706E4"/>
    <w:rsid w:val="00077F28"/>
    <w:rsid w:val="00275775"/>
    <w:rsid w:val="00381EF1"/>
    <w:rsid w:val="00520FDA"/>
    <w:rsid w:val="005A30F3"/>
    <w:rsid w:val="00B20582"/>
    <w:rsid w:val="00B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A10"/>
  <w15:chartTrackingRefBased/>
  <w15:docId w15:val="{1FBB8AD5-FD28-1D4E-94AE-0662FF8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2025-04-10T17:12:00Z</dcterms:created>
  <dcterms:modified xsi:type="dcterms:W3CDTF">2025-04-10T17:13:00Z</dcterms:modified>
</cp:coreProperties>
</file>